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page" w:horzAnchor="margin" w:tblpXSpec="center" w:tblpY="1036"/>
        <w:tblW w:w="15730" w:type="dxa"/>
        <w:tblLayout w:type="fixed"/>
        <w:tblLook w:val="04A0" w:firstRow="1" w:lastRow="0" w:firstColumn="1" w:lastColumn="0" w:noHBand="0" w:noVBand="1"/>
      </w:tblPr>
      <w:tblGrid>
        <w:gridCol w:w="5140"/>
        <w:gridCol w:w="1502"/>
        <w:gridCol w:w="1001"/>
        <w:gridCol w:w="1004"/>
        <w:gridCol w:w="1004"/>
        <w:gridCol w:w="834"/>
        <w:gridCol w:w="992"/>
        <w:gridCol w:w="851"/>
        <w:gridCol w:w="817"/>
        <w:gridCol w:w="902"/>
        <w:gridCol w:w="902"/>
        <w:gridCol w:w="781"/>
      </w:tblGrid>
      <w:tr w:rsidR="006C6BE3" w:rsidRPr="006C6BE3" w:rsidTr="006C6BE3">
        <w:trPr>
          <w:trHeight w:val="431"/>
          <w:tblHeader/>
        </w:trPr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>Financial report checks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>Applicable Australian Accounting Standard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>General purpose financial statements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>General purpose financial statements – reduced disclosure regime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>Special purpose financial statements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>All financial statement types</w:t>
            </w:r>
          </w:p>
        </w:tc>
      </w:tr>
      <w:tr w:rsidR="006C6BE3" w:rsidRPr="006C6BE3" w:rsidTr="006C6BE3">
        <w:trPr>
          <w:trHeight w:val="366"/>
          <w:tblHeader/>
        </w:trPr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Yes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No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Yes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Yes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No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N/A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Yes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No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C7BB"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6C6BE3">
              <w:rPr>
                <w:rFonts w:ascii="Calibri" w:eastAsia="Calibri" w:hAnsi="Calibri" w:cs="Times New Roman"/>
                <w:b/>
                <w:sz w:val="18"/>
              </w:rPr>
              <w:t xml:space="preserve">N/A </w:t>
            </w:r>
          </w:p>
        </w:tc>
      </w:tr>
      <w:tr w:rsidR="006C6BE3" w:rsidRPr="006C6BE3" w:rsidTr="006C6BE3">
        <w:trPr>
          <w:trHeight w:val="534"/>
          <w:tblHeader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Classification of current and non-current assets and liabilities presented in the statement of financial position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101.60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98%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97%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543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 xml:space="preserve">Line items presented in the Statement of profit or loss and other comprehensive income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101.82 and 82A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96%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100%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13%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C70A69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92%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C70A69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40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 xml:space="preserve">Disclosure of significant accounting policies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101.117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96%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98%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14%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482D21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91%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482D21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73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 xml:space="preserve">Disclosure of appropriate accounting estimates and judgements managements made in the process of applying the charity’s accounting policies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101.22 and 125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89%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11%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96%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48%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71%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29%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616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Cash flow statement classified between operating, investing and financing activities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107.10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100%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6B399F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91%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6B399F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544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Disclosure for the purpose of preparing the financial statements, whether it is a for-profit or not-for-profit entity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1054.8(b)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67%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33%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88%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58%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58%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42%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542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Disclosure of the reporting framework which the financial statements were prepared (</w:t>
            </w:r>
            <w:proofErr w:type="spellStart"/>
            <w:r w:rsidRPr="006C6BE3">
              <w:rPr>
                <w:rFonts w:ascii="Calibri" w:eastAsia="Calibri" w:hAnsi="Calibri" w:cs="Times New Roman"/>
                <w:sz w:val="18"/>
              </w:rPr>
              <w:t>ie</w:t>
            </w:r>
            <w:proofErr w:type="spellEnd"/>
            <w:r w:rsidRPr="006C6BE3">
              <w:rPr>
                <w:rFonts w:ascii="Calibri" w:eastAsia="Calibri" w:hAnsi="Calibri" w:cs="Times New Roman"/>
                <w:sz w:val="18"/>
              </w:rPr>
              <w:t>: whether it is a GPFS or SPFS)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1054.8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100%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98%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CD5098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95%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CD5098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196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The statutory basis which the financial reports were prepared referenced the ACNC Act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1054.8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74%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26%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87%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44%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74060B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67%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33%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74060B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336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 xml:space="preserve">Disclosure of fees to each auditor or reviewer of the financial statements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1054.10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81%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19%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45%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55%</w:t>
            </w:r>
            <w:r w:rsidRPr="006C6BE3">
              <w:rPr>
                <w:rFonts w:ascii="Calibri" w:eastAsia="Calibri" w:hAnsi="Calibri" w:cs="Times New Roman"/>
                <w:b/>
                <w:sz w:val="28"/>
                <w:vertAlign w:val="superscript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43%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57%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77210E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43%</w:t>
            </w:r>
          </w:p>
        </w:tc>
      </w:tr>
      <w:tr w:rsidR="006C6BE3" w:rsidRPr="006C6BE3" w:rsidTr="006C6BE3">
        <w:trPr>
          <w:trHeight w:val="196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Disclosure of compliance with Australian Accounting Standards only when all Australian Accounting Standards have been complied with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1054.7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96%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93%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63%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60%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40%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</w:tr>
      <w:tr w:rsidR="006C6BE3" w:rsidRPr="006C6BE3" w:rsidTr="006C6BE3">
        <w:trPr>
          <w:trHeight w:val="20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Disclosure of key management personnel compensation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127.17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78%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22%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88%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64%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36%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26%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D236B1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38%</w:t>
            </w:r>
          </w:p>
        </w:tc>
      </w:tr>
      <w:tr w:rsidR="006C6BE3" w:rsidRPr="006C6BE3" w:rsidTr="006C6BE3">
        <w:trPr>
          <w:trHeight w:val="196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Disclosure of related party transactions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124.18 and 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63%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37%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76%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92%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34%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11%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Del="00EE7CBB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54%</w:t>
            </w:r>
          </w:p>
        </w:tc>
      </w:tr>
      <w:tr w:rsidR="006C6BE3" w:rsidRPr="006C6BE3" w:rsidTr="006C6BE3">
        <w:trPr>
          <w:trHeight w:val="207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 xml:space="preserve">Disclosure of depreciation methods, useful lives or the depreciation rates used the depreciation rates used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AASB 116.73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89%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11%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100%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64%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36%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77%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0%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3" w:rsidRPr="006C6BE3" w:rsidRDefault="006C6BE3" w:rsidP="006C6BE3">
            <w:pPr>
              <w:rPr>
                <w:rFonts w:ascii="Calibri" w:eastAsia="Calibri" w:hAnsi="Calibri" w:cs="Times New Roman"/>
                <w:sz w:val="18"/>
              </w:rPr>
            </w:pPr>
            <w:r w:rsidRPr="006C6BE3">
              <w:rPr>
                <w:rFonts w:ascii="Calibri" w:eastAsia="Calibri" w:hAnsi="Calibri" w:cs="Times New Roman"/>
                <w:sz w:val="18"/>
              </w:rPr>
              <w:t>22%</w:t>
            </w:r>
          </w:p>
        </w:tc>
      </w:tr>
    </w:tbl>
    <w:p w:rsidR="00741E3C" w:rsidRDefault="00741E3C"/>
    <w:sectPr w:rsidR="00741E3C" w:rsidSect="006C6B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202" w:rsidRDefault="00E26202" w:rsidP="006C6BE3">
      <w:pPr>
        <w:spacing w:after="0" w:line="240" w:lineRule="auto"/>
      </w:pPr>
      <w:r>
        <w:separator/>
      </w:r>
    </w:p>
  </w:endnote>
  <w:endnote w:type="continuationSeparator" w:id="0">
    <w:p w:rsidR="00E26202" w:rsidRDefault="00E26202" w:rsidP="006C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202" w:rsidRDefault="00E26202" w:rsidP="006C6BE3">
      <w:pPr>
        <w:spacing w:after="0" w:line="240" w:lineRule="auto"/>
      </w:pPr>
      <w:r>
        <w:separator/>
      </w:r>
    </w:p>
  </w:footnote>
  <w:footnote w:type="continuationSeparator" w:id="0">
    <w:p w:rsidR="00E26202" w:rsidRDefault="00E26202" w:rsidP="006C6BE3">
      <w:pPr>
        <w:spacing w:after="0" w:line="240" w:lineRule="auto"/>
      </w:pPr>
      <w:r>
        <w:continuationSeparator/>
      </w:r>
    </w:p>
  </w:footnote>
  <w:footnote w:id="1">
    <w:p w:rsidR="006C6BE3" w:rsidRDefault="006C6BE3" w:rsidP="006C6BE3">
      <w:pPr>
        <w:pStyle w:val="FootnoteText1"/>
      </w:pPr>
      <w:r w:rsidRPr="006C6BE3">
        <w:rPr>
          <w:rStyle w:val="FootnoteReference"/>
          <w:b/>
          <w:sz w:val="28"/>
        </w:rPr>
        <w:footnoteRef/>
      </w:r>
      <w:r>
        <w:t xml:space="preserve"> It is optional for preparers of GPFS – RDR to separate</w:t>
      </w:r>
      <w:bookmarkStart w:id="0" w:name="_GoBack"/>
      <w:bookmarkEnd w:id="0"/>
      <w:r>
        <w:t>ly disclose fees to each auditor or review of the financial statements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3"/>
    <w:rsid w:val="004947F4"/>
    <w:rsid w:val="006C6BE3"/>
    <w:rsid w:val="00741E3C"/>
    <w:rsid w:val="00E2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16A32-E438-4208-BE4C-E22A3BCB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C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C6B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C6B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6BE3"/>
    <w:rPr>
      <w:vertAlign w:val="superscript"/>
    </w:rPr>
  </w:style>
  <w:style w:type="table" w:styleId="TableGrid">
    <w:name w:val="Table Grid"/>
    <w:basedOn w:val="TableNormal"/>
    <w:uiPriority w:val="39"/>
    <w:rsid w:val="006C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6C6BE3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C6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Riches</dc:creator>
  <cp:keywords/>
  <dc:description/>
  <cp:lastModifiedBy>Chris Riches</cp:lastModifiedBy>
  <cp:revision>1</cp:revision>
  <dcterms:created xsi:type="dcterms:W3CDTF">2020-03-18T23:29:00Z</dcterms:created>
  <dcterms:modified xsi:type="dcterms:W3CDTF">2020-03-18T23:35:00Z</dcterms:modified>
</cp:coreProperties>
</file>