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989F" w14:textId="307F416E" w:rsidR="00364CD3" w:rsidRPr="00364CD3" w:rsidRDefault="00364CD3" w:rsidP="00364CD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</w:pPr>
      <w:r w:rsidRPr="00364CD3"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F</w:t>
      </w:r>
      <w:r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inancial declaration for Res</w:t>
      </w:r>
      <w:bookmarkStart w:id="0" w:name="_GoBack"/>
      <w:bookmarkEnd w:id="0"/>
      <w:r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ponsible Person</w:t>
      </w:r>
    </w:p>
    <w:p w14:paraId="7C28D961" w14:textId="77777777" w:rsidR="005A2736" w:rsidRDefault="005A2736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</w:p>
    <w:p w14:paraId="4FB72309" w14:textId="1CFDD8E1" w:rsidR="00300373" w:rsidRPr="00364CD3" w:rsidRDefault="00300373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  <w:r w:rsidRPr="00364CD3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>per section 60.15 of the Australian Charities and Not-for-profits Commission Regulation 2013</w:t>
      </w:r>
    </w:p>
    <w:p w14:paraId="3FC80143" w14:textId="4082E323" w:rsidR="00300373" w:rsidRPr="005A2736" w:rsidRDefault="005A2736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>
        <w:rPr>
          <w:rFonts w:ascii="Arial" w:eastAsiaTheme="minorHAnsi" w:hAnsi="Arial" w:cs="Arial"/>
          <w:sz w:val="22"/>
          <w:szCs w:val="22"/>
          <w:lang w:val="en-AU" w:eastAsia="en-US"/>
        </w:rPr>
        <w:t>The Responsible P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>ersons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declare that in the </w:t>
      </w:r>
      <w:r>
        <w:rPr>
          <w:rFonts w:ascii="Arial" w:eastAsiaTheme="minorHAnsi" w:hAnsi="Arial" w:cs="Arial"/>
          <w:sz w:val="22"/>
          <w:szCs w:val="22"/>
          <w:lang w:val="en-AU" w:eastAsia="en-US"/>
        </w:rPr>
        <w:t>Responsible P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ersons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>’ opinion:</w:t>
      </w:r>
    </w:p>
    <w:p w14:paraId="76E53DE1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there are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[are not]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reasonable grounds to believe that the registered entity is able to pay all of its debts, as and when they become due and payable; and</w:t>
      </w:r>
    </w:p>
    <w:p w14:paraId="5383D912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 financial statements and notes satisfy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[do not satisfy]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the requirements of the </w:t>
      </w:r>
      <w:r w:rsidRPr="005A273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Not-for-profits Commission Act 2012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042B7CF5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13656852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Signed in accordance with subsection 60.15(2) of the </w:t>
      </w:r>
      <w:r w:rsidRPr="00B753A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 Commission Regulation 2013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345FD6C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5BC0351D" w14:textId="405CDB22" w:rsidR="00300373" w:rsidRPr="00B753A6" w:rsidRDefault="007A0397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5A2736">
        <w:rPr>
          <w:rFonts w:ascii="Arial" w:eastAsiaTheme="minorHAnsi" w:hAnsi="Arial" w:cs="Arial"/>
          <w:sz w:val="22"/>
          <w:szCs w:val="22"/>
          <w:lang w:val="en-AU" w:eastAsia="en-US"/>
        </w:rPr>
        <w:t>P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erson</w:t>
      </w:r>
      <w:r w:rsidR="00300373" w:rsidRPr="00B753A6">
        <w:rPr>
          <w:rFonts w:ascii="Arial" w:eastAsiaTheme="minorHAnsi" w:hAnsi="Arial" w:cs="Arial"/>
          <w:sz w:val="22"/>
          <w:szCs w:val="22"/>
          <w:vertAlign w:val="superscript"/>
          <w:lang w:val="en-AU" w:eastAsia="en-US"/>
        </w:rPr>
        <w:footnoteReference w:id="1"/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br/>
        <w:t>Responsible persons’ declaration</w:t>
      </w:r>
    </w:p>
    <w:p w14:paraId="77C26DA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78F6855F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Dated this xx day of xx 20xx</w:t>
      </w:r>
    </w:p>
    <w:p w14:paraId="246793B6" w14:textId="77777777" w:rsidR="00300373" w:rsidRPr="00300373" w:rsidRDefault="00300373" w:rsidP="00300373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val="en-AU" w:eastAsia="en-US"/>
        </w:rPr>
      </w:pPr>
    </w:p>
    <w:p w14:paraId="349A6CE2" w14:textId="5787861D" w:rsidR="00F43157" w:rsidRDefault="00E37C5A"/>
    <w:p w14:paraId="139FDC9D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6DE5D271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A81BDA4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925D64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5E6C20A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530E5C6" w14:textId="752EBA87" w:rsidR="005A2736" w:rsidRPr="005A2736" w:rsidRDefault="005A2736">
      <w:pPr>
        <w:rPr>
          <w:sz w:val="22"/>
        </w:rPr>
      </w:pPr>
      <w:r w:rsidRPr="005A2736">
        <w:rPr>
          <w:rFonts w:ascii="Arial" w:hAnsi="Arial" w:cs="Arial"/>
          <w:i/>
          <w:color w:val="A6A6A6" w:themeColor="background1" w:themeShade="A6"/>
          <w:sz w:val="22"/>
        </w:rPr>
        <w:t>This template is an example only.</w:t>
      </w:r>
    </w:p>
    <w:sectPr w:rsidR="005A2736" w:rsidRPr="005A2736" w:rsidSect="0087189F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811C7" w14:textId="77777777" w:rsidR="00E37C5A" w:rsidRDefault="00E37C5A" w:rsidP="00300373">
      <w:pPr>
        <w:spacing w:before="0" w:after="0"/>
      </w:pPr>
      <w:r>
        <w:separator/>
      </w:r>
    </w:p>
  </w:endnote>
  <w:endnote w:type="continuationSeparator" w:id="0">
    <w:p w14:paraId="70BACD81" w14:textId="77777777" w:rsidR="00E37C5A" w:rsidRDefault="00E37C5A" w:rsidP="00300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A3E7" w14:textId="77777777" w:rsidR="00E37C5A" w:rsidRDefault="00E37C5A" w:rsidP="00300373">
      <w:pPr>
        <w:spacing w:before="0" w:after="0"/>
      </w:pPr>
      <w:r>
        <w:separator/>
      </w:r>
    </w:p>
  </w:footnote>
  <w:footnote w:type="continuationSeparator" w:id="0">
    <w:p w14:paraId="430D880B" w14:textId="77777777" w:rsidR="00E37C5A" w:rsidRDefault="00E37C5A" w:rsidP="00300373">
      <w:pPr>
        <w:spacing w:before="0" w:after="0"/>
      </w:pPr>
      <w:r>
        <w:continuationSeparator/>
      </w:r>
    </w:p>
  </w:footnote>
  <w:footnote w:id="1">
    <w:p w14:paraId="068DB468" w14:textId="1471611A" w:rsidR="00300373" w:rsidRDefault="00300373" w:rsidP="00300373">
      <w:pPr>
        <w:pStyle w:val="FootnoteText"/>
      </w:pPr>
      <w:r>
        <w:rPr>
          <w:rStyle w:val="FootnoteReference"/>
        </w:rPr>
        <w:footnoteRef/>
      </w:r>
      <w:r w:rsidR="005A2736">
        <w:t xml:space="preserve"> The term ‘R</w:t>
      </w:r>
      <w:r w:rsidR="007A0397">
        <w:t xml:space="preserve">esponsible </w:t>
      </w:r>
      <w:r w:rsidR="005A2736">
        <w:t>P</w:t>
      </w:r>
      <w:r w:rsidR="007A0397">
        <w:t>erson</w:t>
      </w:r>
      <w:r w:rsidR="005A2736">
        <w:t>’</w:t>
      </w:r>
      <w:r>
        <w:t xml:space="preserve"> could be replaced with director(s) of the company or trustee(s) of the trust or if the trustee is a body corporate, a director(s) of the trustee.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94FBD" w14:textId="44D5580B" w:rsidR="005A2736" w:rsidRDefault="005A2736">
    <w:pPr>
      <w:pStyle w:val="Header"/>
    </w:pPr>
    <w:r>
      <w:rPr>
        <w:noProof/>
        <w:lang w:val="en-AU"/>
      </w:rPr>
      <w:drawing>
        <wp:inline distT="0" distB="0" distL="0" distR="0" wp14:anchorId="411D5179" wp14:editId="74037CBD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73"/>
    <w:rsid w:val="00033C85"/>
    <w:rsid w:val="00205D94"/>
    <w:rsid w:val="00300373"/>
    <w:rsid w:val="00321BE0"/>
    <w:rsid w:val="00364CD3"/>
    <w:rsid w:val="0037786E"/>
    <w:rsid w:val="00474251"/>
    <w:rsid w:val="005A2736"/>
    <w:rsid w:val="006075CF"/>
    <w:rsid w:val="006B3981"/>
    <w:rsid w:val="007A0397"/>
    <w:rsid w:val="008C7480"/>
    <w:rsid w:val="00B753A6"/>
    <w:rsid w:val="00BB0F99"/>
    <w:rsid w:val="00CE37F2"/>
    <w:rsid w:val="00D71CEC"/>
    <w:rsid w:val="00E37C5A"/>
    <w:rsid w:val="00ED7369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6BF71"/>
  <w15:docId w15:val="{202F9455-FD53-4B7D-AA8A-457341C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3981"/>
    <w:pPr>
      <w:spacing w:before="100" w:beforeAutospacing="1" w:after="100" w:afterAutospacing="1"/>
    </w:pPr>
    <w:rPr>
      <w:rFonts w:ascii="Calibri" w:hAnsi="Calibri" w:cs="Calibri"/>
      <w:sz w:val="24"/>
      <w:szCs w:val="24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6B3981"/>
    <w:pPr>
      <w:keepNext/>
      <w:spacing w:before="240" w:after="60"/>
      <w:outlineLvl w:val="0"/>
    </w:pPr>
    <w:rPr>
      <w:b/>
      <w:bCs/>
      <w:kern w:val="32"/>
      <w:sz w:val="48"/>
      <w:szCs w:val="48"/>
      <w:lang w:eastAsia="en-US"/>
    </w:rPr>
  </w:style>
  <w:style w:type="paragraph" w:styleId="Heading2">
    <w:name w:val="heading 2"/>
    <w:basedOn w:val="Normal"/>
    <w:link w:val="Heading2Char"/>
    <w:qFormat/>
    <w:rsid w:val="006B3981"/>
    <w:pPr>
      <w:spacing w:after="144"/>
      <w:outlineLvl w:val="1"/>
    </w:pPr>
    <w:rPr>
      <w:b/>
      <w:bCs/>
      <w:color w:val="333333"/>
      <w:sz w:val="36"/>
      <w:szCs w:val="36"/>
      <w:lang w:val="en-AU"/>
    </w:rPr>
  </w:style>
  <w:style w:type="paragraph" w:styleId="Heading3">
    <w:name w:val="heading 3"/>
    <w:basedOn w:val="Normal"/>
    <w:link w:val="Heading3Char"/>
    <w:qFormat/>
    <w:rsid w:val="006B3981"/>
    <w:pPr>
      <w:spacing w:before="144" w:after="120"/>
      <w:outlineLvl w:val="2"/>
    </w:pPr>
    <w:rPr>
      <w:b/>
      <w:bCs/>
      <w:color w:val="333333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6B39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3981"/>
    <w:rPr>
      <w:rFonts w:ascii="Calibri" w:hAnsi="Calibri" w:cs="Calibri"/>
      <w:b/>
      <w:bCs/>
      <w:kern w:val="32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ED7369"/>
    <w:rPr>
      <w:rFonts w:ascii="Calibri" w:hAnsi="Calibri" w:cs="Calibri"/>
      <w:b/>
      <w:bCs/>
      <w:color w:val="333333"/>
      <w:sz w:val="36"/>
      <w:szCs w:val="36"/>
      <w:lang w:eastAsia="en-AU"/>
    </w:rPr>
  </w:style>
  <w:style w:type="character" w:customStyle="1" w:styleId="Elementtipicon">
    <w:name w:val="Element (tip icon)"/>
    <w:uiPriority w:val="4"/>
    <w:qFormat/>
    <w:rsid w:val="006B3981"/>
    <w:rPr>
      <w:position w:val="-6"/>
    </w:rPr>
  </w:style>
  <w:style w:type="character" w:customStyle="1" w:styleId="Heading3Char">
    <w:name w:val="Heading 3 Char"/>
    <w:link w:val="Heading3"/>
    <w:rsid w:val="006B3981"/>
    <w:rPr>
      <w:rFonts w:ascii="Calibri" w:hAnsi="Calibri" w:cs="Calibri"/>
      <w:b/>
      <w:bCs/>
      <w:color w:val="33333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B3981"/>
    <w:rPr>
      <w:rFonts w:ascii="Calibri" w:hAnsi="Calibri" w:cs="Calibri"/>
      <w:b/>
      <w:bCs/>
      <w:sz w:val="28"/>
      <w:szCs w:val="28"/>
      <w:lang w:val="en-GB" w:eastAsia="en-AU"/>
    </w:rPr>
  </w:style>
  <w:style w:type="paragraph" w:styleId="TOC1">
    <w:name w:val="toc 1"/>
    <w:basedOn w:val="Normal"/>
    <w:next w:val="Normal"/>
    <w:autoRedefine/>
    <w:uiPriority w:val="39"/>
    <w:qFormat/>
    <w:rsid w:val="006B3981"/>
    <w:pPr>
      <w:pBdr>
        <w:top w:val="single" w:sz="4" w:space="1" w:color="auto"/>
        <w:bottom w:val="single" w:sz="4" w:space="1" w:color="auto"/>
      </w:pBdr>
    </w:pPr>
    <w:rPr>
      <w:b/>
      <w:bCs/>
      <w:sz w:val="32"/>
      <w:szCs w:val="32"/>
    </w:rPr>
  </w:style>
  <w:style w:type="character" w:styleId="Strong">
    <w:name w:val="Strong"/>
    <w:qFormat/>
    <w:rsid w:val="006B3981"/>
  </w:style>
  <w:style w:type="character" w:styleId="Emphasis">
    <w:name w:val="Emphasis"/>
    <w:qFormat/>
    <w:rsid w:val="006B3981"/>
    <w:rPr>
      <w:b w:val="0"/>
      <w:bCs w:val="0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981"/>
    <w:pPr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373"/>
    <w:pPr>
      <w:spacing w:before="0" w:beforeAutospacing="0" w:after="0" w:afterAutospacing="0"/>
    </w:pPr>
    <w:rPr>
      <w:rFonts w:asciiTheme="minorHAnsi" w:eastAsiaTheme="minorHAnsi" w:hAnsiTheme="minorHAnsi" w:cstheme="minorBidi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37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003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00373"/>
    <w:pPr>
      <w:tabs>
        <w:tab w:val="center" w:pos="4513"/>
        <w:tab w:val="right" w:pos="9026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7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2736"/>
    <w:rPr>
      <w:rFonts w:ascii="Calibri" w:hAnsi="Calibri" w:cs="Calibri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McFarlane, Kate</dc:creator>
  <cp:lastModifiedBy>Chris Riches</cp:lastModifiedBy>
  <cp:revision>2</cp:revision>
  <dcterms:created xsi:type="dcterms:W3CDTF">2019-04-29T04:56:00Z</dcterms:created>
  <dcterms:modified xsi:type="dcterms:W3CDTF">2019-04-29T04:56:00Z</dcterms:modified>
</cp:coreProperties>
</file>