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24067" w14:textId="77777777" w:rsidR="000B1B26" w:rsidRDefault="000B1B26" w:rsidP="000B1B26">
      <w:pPr>
        <w:pStyle w:val="Title"/>
      </w:pPr>
      <w:bookmarkStart w:id="0" w:name="_GoBack"/>
      <w:bookmarkEnd w:id="0"/>
      <w:r>
        <w:t>ACNC 201</w:t>
      </w:r>
      <w:r w:rsidR="007865FB">
        <w:t>7</w:t>
      </w:r>
      <w:r>
        <w:t>-1</w:t>
      </w:r>
      <w:r w:rsidR="007865FB">
        <w:t>8</w:t>
      </w:r>
      <w:r>
        <w:t xml:space="preserve"> </w:t>
      </w:r>
      <w:r>
        <w:br/>
        <w:t xml:space="preserve">Regulator Performance Framework </w:t>
      </w:r>
      <w:r>
        <w:br/>
        <w:t xml:space="preserve">Self-assessment </w:t>
      </w:r>
    </w:p>
    <w:p w14:paraId="2C7D8F8D" w14:textId="77777777" w:rsidR="000B1B26" w:rsidRPr="00F97618" w:rsidRDefault="000B1B26" w:rsidP="006E6E47">
      <w:pPr>
        <w:pStyle w:val="TOCHeading"/>
        <w:spacing w:after="120"/>
        <w:rPr>
          <w:rFonts w:ascii="Calibri" w:hAnsi="Calibri" w:cs="Calibri"/>
        </w:rPr>
      </w:pPr>
      <w:r w:rsidRPr="00F97618">
        <w:rPr>
          <w:rFonts w:ascii="Calibri" w:hAnsi="Calibri" w:cs="Calibri"/>
        </w:rPr>
        <w:t>Contents</w:t>
      </w:r>
    </w:p>
    <w:p w14:paraId="67F8EFC8" w14:textId="77777777" w:rsidR="000C4CE4" w:rsidRPr="000C4CE4" w:rsidRDefault="000B1B26">
      <w:pPr>
        <w:pStyle w:val="TOC1"/>
        <w:tabs>
          <w:tab w:val="right" w:leader="dot" w:pos="9396"/>
        </w:tabs>
        <w:rPr>
          <w:rFonts w:asciiTheme="minorHAnsi" w:eastAsiaTheme="minorEastAsia" w:hAnsiTheme="minorHAnsi" w:cstheme="minorBidi"/>
          <w:noProof/>
          <w:szCs w:val="22"/>
          <w:lang w:eastAsia="en-AU"/>
        </w:rPr>
      </w:pPr>
      <w:r w:rsidRPr="000C4CE4">
        <w:rPr>
          <w:rFonts w:asciiTheme="minorHAnsi" w:hAnsiTheme="minorHAnsi" w:cstheme="minorHAnsi"/>
        </w:rPr>
        <w:fldChar w:fldCharType="begin"/>
      </w:r>
      <w:r w:rsidRPr="000C4CE4">
        <w:rPr>
          <w:rFonts w:asciiTheme="minorHAnsi" w:hAnsiTheme="minorHAnsi" w:cstheme="minorHAnsi"/>
        </w:rPr>
        <w:instrText xml:space="preserve"> TOC \o "1-3" \h \z \u </w:instrText>
      </w:r>
      <w:r w:rsidRPr="000C4CE4">
        <w:rPr>
          <w:rFonts w:asciiTheme="minorHAnsi" w:hAnsiTheme="minorHAnsi" w:cstheme="minorHAnsi"/>
        </w:rPr>
        <w:fldChar w:fldCharType="separate"/>
      </w:r>
      <w:hyperlink w:anchor="_Toc521594124" w:history="1">
        <w:r w:rsidR="000C4CE4" w:rsidRPr="000C4CE4">
          <w:rPr>
            <w:rStyle w:val="Hyperlink"/>
            <w:rFonts w:asciiTheme="minorHAnsi" w:hAnsiTheme="minorHAnsi"/>
            <w:noProof/>
          </w:rPr>
          <w:t>Overview</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_Toc521594124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2</w:t>
        </w:r>
        <w:r w:rsidR="000C4CE4" w:rsidRPr="000C4CE4">
          <w:rPr>
            <w:rFonts w:asciiTheme="minorHAnsi" w:hAnsiTheme="minorHAnsi"/>
            <w:noProof/>
            <w:webHidden/>
          </w:rPr>
          <w:fldChar w:fldCharType="end"/>
        </w:r>
      </w:hyperlink>
    </w:p>
    <w:p w14:paraId="5413CA82"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25" w:history="1">
        <w:r w:rsidR="000C4CE4" w:rsidRPr="000C4CE4">
          <w:rPr>
            <w:rStyle w:val="Hyperlink"/>
            <w:rFonts w:asciiTheme="minorHAnsi" w:hAnsiTheme="minorHAnsi"/>
            <w:noProof/>
          </w:rPr>
          <w:t>Methodology</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_Toc521594125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2</w:t>
        </w:r>
        <w:r w:rsidR="000C4CE4" w:rsidRPr="000C4CE4">
          <w:rPr>
            <w:rFonts w:asciiTheme="minorHAnsi" w:hAnsiTheme="minorHAnsi"/>
            <w:noProof/>
            <w:webHidden/>
          </w:rPr>
          <w:fldChar w:fldCharType="end"/>
        </w:r>
      </w:hyperlink>
    </w:p>
    <w:p w14:paraId="164CCAED"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26" w:history="1">
        <w:r w:rsidR="000C4CE4" w:rsidRPr="000C4CE4">
          <w:rPr>
            <w:rStyle w:val="Hyperlink"/>
            <w:rFonts w:asciiTheme="minorHAnsi" w:hAnsiTheme="minorHAnsi"/>
            <w:noProof/>
          </w:rPr>
          <w:t>Areas for improvement identified in the 2016-17 RPF report</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_Toc521594126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3</w:t>
        </w:r>
        <w:r w:rsidR="000C4CE4" w:rsidRPr="000C4CE4">
          <w:rPr>
            <w:rFonts w:asciiTheme="minorHAnsi" w:hAnsiTheme="minorHAnsi"/>
            <w:noProof/>
            <w:webHidden/>
          </w:rPr>
          <w:fldChar w:fldCharType="end"/>
        </w:r>
      </w:hyperlink>
    </w:p>
    <w:p w14:paraId="1B119694"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27" w:history="1">
        <w:r w:rsidR="000C4CE4" w:rsidRPr="000C4CE4">
          <w:rPr>
            <w:rStyle w:val="Hyperlink"/>
            <w:rFonts w:asciiTheme="minorHAnsi" w:hAnsiTheme="minorHAnsi"/>
            <w:noProof/>
          </w:rPr>
          <w:t>Overall assessment for the 2017-18 RPF report</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_Toc521594127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4</w:t>
        </w:r>
        <w:r w:rsidR="000C4CE4" w:rsidRPr="000C4CE4">
          <w:rPr>
            <w:rFonts w:asciiTheme="minorHAnsi" w:hAnsiTheme="minorHAnsi"/>
            <w:noProof/>
            <w:webHidden/>
          </w:rPr>
          <w:fldChar w:fldCharType="end"/>
        </w:r>
      </w:hyperlink>
    </w:p>
    <w:p w14:paraId="0CCA7340" w14:textId="77777777" w:rsidR="000C4CE4" w:rsidRPr="000C4CE4" w:rsidRDefault="00927E5C">
      <w:pPr>
        <w:pStyle w:val="TOC1"/>
        <w:tabs>
          <w:tab w:val="right" w:leader="dot" w:pos="9396"/>
        </w:tabs>
        <w:rPr>
          <w:rFonts w:asciiTheme="minorHAnsi" w:eastAsiaTheme="minorEastAsia" w:hAnsiTheme="minorHAnsi" w:cstheme="minorBidi"/>
          <w:noProof/>
          <w:szCs w:val="22"/>
          <w:lang w:eastAsia="en-AU"/>
        </w:rPr>
      </w:pPr>
      <w:hyperlink w:anchor="_Toc521594128" w:history="1">
        <w:r w:rsidR="000C4CE4" w:rsidRPr="000C4CE4">
          <w:rPr>
            <w:rStyle w:val="Hyperlink"/>
            <w:rFonts w:asciiTheme="minorHAnsi" w:hAnsiTheme="minorHAnsi"/>
            <w:noProof/>
          </w:rPr>
          <w:t>KPI Assessment</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_Toc521594128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5</w:t>
        </w:r>
        <w:r w:rsidR="000C4CE4" w:rsidRPr="000C4CE4">
          <w:rPr>
            <w:rFonts w:asciiTheme="minorHAnsi" w:hAnsiTheme="minorHAnsi"/>
            <w:noProof/>
            <w:webHidden/>
          </w:rPr>
          <w:fldChar w:fldCharType="end"/>
        </w:r>
      </w:hyperlink>
    </w:p>
    <w:p w14:paraId="4DB41CAA"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29" w:history="1">
        <w:r w:rsidR="000C4CE4" w:rsidRPr="000C4CE4">
          <w:rPr>
            <w:rStyle w:val="Hyperlink"/>
            <w:rFonts w:asciiTheme="minorHAnsi" w:hAnsiTheme="minorHAnsi"/>
            <w:noProof/>
          </w:rPr>
          <w:t>KPI 1 – Regulators do not unnecessarily impede the efficient operation of regulated entities</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_Toc521594129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5</w:t>
        </w:r>
        <w:r w:rsidR="000C4CE4" w:rsidRPr="000C4CE4">
          <w:rPr>
            <w:rFonts w:asciiTheme="minorHAnsi" w:hAnsiTheme="minorHAnsi"/>
            <w:noProof/>
            <w:webHidden/>
          </w:rPr>
          <w:fldChar w:fldCharType="end"/>
        </w:r>
      </w:hyperlink>
    </w:p>
    <w:p w14:paraId="11BC8B5D"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30" w:history="1">
        <w:r w:rsidR="000C4CE4" w:rsidRPr="000C4CE4">
          <w:rPr>
            <w:rStyle w:val="Hyperlink"/>
            <w:rFonts w:asciiTheme="minorHAnsi" w:hAnsiTheme="minorHAnsi"/>
            <w:noProof/>
          </w:rPr>
          <w:t>KPI 2 – Communication with regulated entities is clear, targeted and effective</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_Toc521594130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8</w:t>
        </w:r>
        <w:r w:rsidR="000C4CE4" w:rsidRPr="000C4CE4">
          <w:rPr>
            <w:rFonts w:asciiTheme="minorHAnsi" w:hAnsiTheme="minorHAnsi"/>
            <w:noProof/>
            <w:webHidden/>
          </w:rPr>
          <w:fldChar w:fldCharType="end"/>
        </w:r>
      </w:hyperlink>
    </w:p>
    <w:p w14:paraId="093B2DF4"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31" w:history="1">
        <w:r w:rsidR="000C4CE4" w:rsidRPr="000C4CE4">
          <w:rPr>
            <w:rStyle w:val="Hyperlink"/>
            <w:rFonts w:asciiTheme="minorHAnsi" w:hAnsiTheme="minorHAnsi"/>
            <w:noProof/>
          </w:rPr>
          <w:t>KPI 3 – Actions undertaken by regulators are proportionate to the regulatory risk being managed</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_Toc521594131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10</w:t>
        </w:r>
        <w:r w:rsidR="000C4CE4" w:rsidRPr="000C4CE4">
          <w:rPr>
            <w:rFonts w:asciiTheme="minorHAnsi" w:hAnsiTheme="minorHAnsi"/>
            <w:noProof/>
            <w:webHidden/>
          </w:rPr>
          <w:fldChar w:fldCharType="end"/>
        </w:r>
      </w:hyperlink>
    </w:p>
    <w:p w14:paraId="3E5EA1D6"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32" w:history="1">
        <w:r w:rsidR="000C4CE4" w:rsidRPr="000C4CE4">
          <w:rPr>
            <w:rStyle w:val="Hyperlink"/>
            <w:rFonts w:asciiTheme="minorHAnsi" w:hAnsiTheme="minorHAnsi"/>
            <w:noProof/>
          </w:rPr>
          <w:t>KPI 4 – Compliance and monitoring approaches are streamlined and coordinated</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_Toc521594132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11</w:t>
        </w:r>
        <w:r w:rsidR="000C4CE4" w:rsidRPr="000C4CE4">
          <w:rPr>
            <w:rFonts w:asciiTheme="minorHAnsi" w:hAnsiTheme="minorHAnsi"/>
            <w:noProof/>
            <w:webHidden/>
          </w:rPr>
          <w:fldChar w:fldCharType="end"/>
        </w:r>
      </w:hyperlink>
    </w:p>
    <w:p w14:paraId="4F73716C"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33" w:history="1">
        <w:r w:rsidR="000C4CE4" w:rsidRPr="000C4CE4">
          <w:rPr>
            <w:rStyle w:val="Hyperlink"/>
            <w:rFonts w:asciiTheme="minorHAnsi" w:hAnsiTheme="minorHAnsi"/>
            <w:noProof/>
          </w:rPr>
          <w:t>KPI 5 – Regulators are open and transparent in their dealings with regulated entities</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_Toc521594133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13</w:t>
        </w:r>
        <w:r w:rsidR="000C4CE4" w:rsidRPr="000C4CE4">
          <w:rPr>
            <w:rFonts w:asciiTheme="minorHAnsi" w:hAnsiTheme="minorHAnsi"/>
            <w:noProof/>
            <w:webHidden/>
          </w:rPr>
          <w:fldChar w:fldCharType="end"/>
        </w:r>
      </w:hyperlink>
    </w:p>
    <w:p w14:paraId="1AD31E8B" w14:textId="77777777" w:rsidR="000C4CE4" w:rsidRPr="000C4CE4" w:rsidRDefault="00927E5C">
      <w:pPr>
        <w:pStyle w:val="TOC2"/>
        <w:tabs>
          <w:tab w:val="right" w:leader="dot" w:pos="9396"/>
        </w:tabs>
        <w:rPr>
          <w:rFonts w:asciiTheme="minorHAnsi" w:eastAsiaTheme="minorEastAsia" w:hAnsiTheme="minorHAnsi" w:cstheme="minorBidi"/>
          <w:noProof/>
          <w:szCs w:val="22"/>
          <w:lang w:eastAsia="en-AU"/>
        </w:rPr>
      </w:pPr>
      <w:hyperlink w:anchor="_Toc521594134" w:history="1">
        <w:r w:rsidR="000C4CE4" w:rsidRPr="000C4CE4">
          <w:rPr>
            <w:rStyle w:val="Hyperlink"/>
            <w:rFonts w:asciiTheme="minorHAnsi" w:hAnsiTheme="minorHAnsi"/>
            <w:noProof/>
          </w:rPr>
          <w:t>KPI 6 – Regulators actively contribute to the continuous improvement of regulatory frameworks</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_Toc521594134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15</w:t>
        </w:r>
        <w:r w:rsidR="000C4CE4" w:rsidRPr="000C4CE4">
          <w:rPr>
            <w:rFonts w:asciiTheme="minorHAnsi" w:hAnsiTheme="minorHAnsi"/>
            <w:noProof/>
            <w:webHidden/>
          </w:rPr>
          <w:fldChar w:fldCharType="end"/>
        </w:r>
      </w:hyperlink>
    </w:p>
    <w:p w14:paraId="304779F6" w14:textId="77777777" w:rsidR="000C4CE4" w:rsidRPr="000C4CE4" w:rsidRDefault="00927E5C">
      <w:pPr>
        <w:pStyle w:val="TOC1"/>
        <w:tabs>
          <w:tab w:val="left" w:pos="1440"/>
          <w:tab w:val="right" w:leader="dot" w:pos="9396"/>
        </w:tabs>
        <w:rPr>
          <w:rFonts w:asciiTheme="minorHAnsi" w:eastAsiaTheme="minorEastAsia" w:hAnsiTheme="minorHAnsi" w:cstheme="minorBidi"/>
          <w:noProof/>
          <w:szCs w:val="22"/>
          <w:lang w:eastAsia="en-AU"/>
        </w:rPr>
      </w:pPr>
      <w:hyperlink w:anchor="_Toc521594135" w:history="1">
        <w:r w:rsidR="000C4CE4" w:rsidRPr="000C4CE4">
          <w:rPr>
            <w:rStyle w:val="Hyperlink"/>
            <w:rFonts w:asciiTheme="minorHAnsi" w:hAnsiTheme="minorHAnsi"/>
            <w:noProof/>
          </w:rPr>
          <w:t>Appendix A:</w:t>
        </w:r>
        <w:r w:rsidR="000C4CE4" w:rsidRPr="000C4CE4">
          <w:rPr>
            <w:rFonts w:asciiTheme="minorHAnsi" w:eastAsiaTheme="minorEastAsia" w:hAnsiTheme="minorHAnsi" w:cstheme="minorBidi"/>
            <w:noProof/>
            <w:szCs w:val="22"/>
            <w:lang w:eastAsia="en-AU"/>
          </w:rPr>
          <w:tab/>
        </w:r>
        <w:r w:rsidR="000C4CE4" w:rsidRPr="000C4CE4">
          <w:rPr>
            <w:rStyle w:val="Hyperlink"/>
            <w:rFonts w:asciiTheme="minorHAnsi" w:hAnsiTheme="minorHAnsi"/>
            <w:noProof/>
          </w:rPr>
          <w:t>Analysis of our metrics</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_Toc521594135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17</w:t>
        </w:r>
        <w:r w:rsidR="000C4CE4" w:rsidRPr="000C4CE4">
          <w:rPr>
            <w:rFonts w:asciiTheme="minorHAnsi" w:hAnsiTheme="minorHAnsi"/>
            <w:noProof/>
            <w:webHidden/>
          </w:rPr>
          <w:fldChar w:fldCharType="end"/>
        </w:r>
      </w:hyperlink>
    </w:p>
    <w:p w14:paraId="411EA670" w14:textId="77777777" w:rsidR="000C4CE4" w:rsidRPr="000C4CE4" w:rsidRDefault="00927E5C">
      <w:pPr>
        <w:pStyle w:val="TOC1"/>
        <w:tabs>
          <w:tab w:val="left" w:pos="1440"/>
          <w:tab w:val="right" w:leader="dot" w:pos="9396"/>
        </w:tabs>
        <w:rPr>
          <w:rFonts w:asciiTheme="minorHAnsi" w:eastAsiaTheme="minorEastAsia" w:hAnsiTheme="minorHAnsi" w:cstheme="minorBidi"/>
          <w:noProof/>
          <w:szCs w:val="22"/>
          <w:lang w:eastAsia="en-AU"/>
        </w:rPr>
      </w:pPr>
      <w:hyperlink w:anchor="_Toc521594136" w:history="1">
        <w:r w:rsidR="000C4CE4" w:rsidRPr="000C4CE4">
          <w:rPr>
            <w:rStyle w:val="Hyperlink"/>
            <w:rFonts w:asciiTheme="minorHAnsi" w:hAnsiTheme="minorHAnsi"/>
            <w:noProof/>
          </w:rPr>
          <w:t>Appendix B:</w:t>
        </w:r>
        <w:r w:rsidR="000C4CE4" w:rsidRPr="000C4CE4">
          <w:rPr>
            <w:rFonts w:asciiTheme="minorHAnsi" w:eastAsiaTheme="minorEastAsia" w:hAnsiTheme="minorHAnsi" w:cstheme="minorBidi"/>
            <w:noProof/>
            <w:szCs w:val="22"/>
            <w:lang w:eastAsia="en-AU"/>
          </w:rPr>
          <w:tab/>
        </w:r>
        <w:r w:rsidR="000C4CE4" w:rsidRPr="000C4CE4">
          <w:rPr>
            <w:rStyle w:val="Hyperlink"/>
            <w:rFonts w:asciiTheme="minorHAnsi" w:hAnsiTheme="minorHAnsi"/>
            <w:noProof/>
          </w:rPr>
          <w:t>Summary of feedback from consultation</w:t>
        </w:r>
        <w:r w:rsidR="000C4CE4" w:rsidRPr="000C4CE4">
          <w:rPr>
            <w:rFonts w:asciiTheme="minorHAnsi" w:hAnsiTheme="minorHAnsi"/>
            <w:noProof/>
            <w:webHidden/>
          </w:rPr>
          <w:tab/>
        </w:r>
        <w:r w:rsidR="000C4CE4" w:rsidRPr="000C4CE4">
          <w:rPr>
            <w:rFonts w:asciiTheme="minorHAnsi" w:hAnsiTheme="minorHAnsi"/>
            <w:noProof/>
            <w:webHidden/>
          </w:rPr>
          <w:fldChar w:fldCharType="begin"/>
        </w:r>
        <w:r w:rsidR="000C4CE4" w:rsidRPr="000C4CE4">
          <w:rPr>
            <w:rFonts w:asciiTheme="minorHAnsi" w:hAnsiTheme="minorHAnsi"/>
            <w:noProof/>
            <w:webHidden/>
          </w:rPr>
          <w:instrText xml:space="preserve"> PAGEREF _Toc521594136 \h </w:instrText>
        </w:r>
        <w:r w:rsidR="000C4CE4" w:rsidRPr="000C4CE4">
          <w:rPr>
            <w:rFonts w:asciiTheme="minorHAnsi" w:hAnsiTheme="minorHAnsi"/>
            <w:noProof/>
            <w:webHidden/>
          </w:rPr>
        </w:r>
        <w:r w:rsidR="000C4CE4" w:rsidRPr="000C4CE4">
          <w:rPr>
            <w:rFonts w:asciiTheme="minorHAnsi" w:hAnsiTheme="minorHAnsi"/>
            <w:noProof/>
            <w:webHidden/>
          </w:rPr>
          <w:fldChar w:fldCharType="separate"/>
        </w:r>
        <w:r w:rsidR="000C4CE4" w:rsidRPr="000C4CE4">
          <w:rPr>
            <w:rFonts w:asciiTheme="minorHAnsi" w:hAnsiTheme="minorHAnsi"/>
            <w:noProof/>
            <w:webHidden/>
          </w:rPr>
          <w:t>29</w:t>
        </w:r>
        <w:r w:rsidR="000C4CE4" w:rsidRPr="000C4CE4">
          <w:rPr>
            <w:rFonts w:asciiTheme="minorHAnsi" w:hAnsiTheme="minorHAnsi"/>
            <w:noProof/>
            <w:webHidden/>
          </w:rPr>
          <w:fldChar w:fldCharType="end"/>
        </w:r>
      </w:hyperlink>
    </w:p>
    <w:p w14:paraId="4FE3E8E2" w14:textId="77777777" w:rsidR="000C4CE4" w:rsidRPr="000C4CE4" w:rsidRDefault="000C4CE4" w:rsidP="008711F3">
      <w:pPr>
        <w:spacing w:after="0"/>
        <w:rPr>
          <w:rFonts w:asciiTheme="minorHAnsi" w:hAnsiTheme="minorHAnsi" w:cstheme="minorHAnsi"/>
          <w:b/>
          <w:bCs/>
          <w:noProof/>
        </w:rPr>
      </w:pPr>
    </w:p>
    <w:p w14:paraId="756A09E7" w14:textId="77777777" w:rsidR="000B1B26" w:rsidRPr="000C4CE4" w:rsidRDefault="000B1B26" w:rsidP="008711F3">
      <w:pPr>
        <w:spacing w:after="0"/>
        <w:rPr>
          <w:rFonts w:asciiTheme="minorHAnsi" w:hAnsiTheme="minorHAnsi" w:cstheme="minorHAnsi"/>
          <w:b/>
          <w:szCs w:val="22"/>
        </w:rPr>
      </w:pPr>
      <w:r w:rsidRPr="000C4CE4">
        <w:rPr>
          <w:rFonts w:asciiTheme="minorHAnsi" w:hAnsiTheme="minorHAnsi" w:cstheme="minorHAnsi"/>
          <w:b/>
          <w:bCs/>
          <w:noProof/>
        </w:rPr>
        <w:fldChar w:fldCharType="end"/>
      </w:r>
      <w:r w:rsidRPr="000C4CE4">
        <w:rPr>
          <w:rFonts w:asciiTheme="minorHAnsi" w:hAnsiTheme="minorHAnsi" w:cstheme="minorHAnsi"/>
          <w:b/>
          <w:szCs w:val="22"/>
        </w:rPr>
        <w:t xml:space="preserve">Date released: </w:t>
      </w:r>
    </w:p>
    <w:p w14:paraId="000AE107" w14:textId="77777777" w:rsidR="000B1B26" w:rsidRPr="00236392" w:rsidRDefault="00B606FB" w:rsidP="008E4DFB">
      <w:pPr>
        <w:pStyle w:val="Title"/>
        <w:spacing w:before="0" w:after="120"/>
        <w:jc w:val="left"/>
        <w:rPr>
          <w:rFonts w:asciiTheme="minorHAnsi" w:hAnsiTheme="minorHAnsi" w:cstheme="minorHAnsi"/>
          <w:b w:val="0"/>
          <w:color w:val="auto"/>
          <w:sz w:val="22"/>
          <w:szCs w:val="22"/>
        </w:rPr>
      </w:pPr>
      <w:r w:rsidRPr="00D132B4">
        <w:rPr>
          <w:rFonts w:asciiTheme="minorHAnsi" w:hAnsiTheme="minorHAnsi" w:cstheme="minorHAnsi"/>
          <w:b w:val="0"/>
          <w:color w:val="auto"/>
          <w:sz w:val="22"/>
          <w:szCs w:val="22"/>
        </w:rPr>
        <w:t xml:space="preserve">December </w:t>
      </w:r>
      <w:r w:rsidR="00635788" w:rsidRPr="00D132B4">
        <w:rPr>
          <w:rFonts w:asciiTheme="minorHAnsi" w:hAnsiTheme="minorHAnsi" w:cstheme="minorHAnsi"/>
          <w:b w:val="0"/>
          <w:color w:val="auto"/>
          <w:sz w:val="22"/>
          <w:szCs w:val="22"/>
        </w:rPr>
        <w:t>201</w:t>
      </w:r>
      <w:r w:rsidR="002C3820" w:rsidRPr="00D132B4">
        <w:rPr>
          <w:rFonts w:asciiTheme="minorHAnsi" w:hAnsiTheme="minorHAnsi" w:cstheme="minorHAnsi"/>
          <w:b w:val="0"/>
          <w:color w:val="auto"/>
          <w:sz w:val="22"/>
          <w:szCs w:val="22"/>
        </w:rPr>
        <w:t>8</w:t>
      </w:r>
    </w:p>
    <w:p w14:paraId="3C6771A1" w14:textId="77777777" w:rsidR="002602E3" w:rsidRPr="008711F3" w:rsidRDefault="000B1B26" w:rsidP="008711F3">
      <w:pPr>
        <w:pStyle w:val="Title"/>
        <w:spacing w:before="120"/>
        <w:jc w:val="left"/>
        <w:rPr>
          <w:rFonts w:ascii="Calibri" w:eastAsia="STFangsong" w:hAnsi="Calibri"/>
          <w:b w:val="0"/>
          <w:bCs w:val="0"/>
          <w:color w:val="auto"/>
          <w:kern w:val="0"/>
          <w:sz w:val="22"/>
          <w:szCs w:val="22"/>
          <w:lang w:eastAsia="en-US"/>
        </w:rPr>
      </w:pPr>
      <w:r w:rsidRPr="00236392">
        <w:rPr>
          <w:rFonts w:asciiTheme="minorHAnsi" w:hAnsiTheme="minorHAnsi" w:cstheme="minorHAnsi"/>
          <w:color w:val="auto"/>
          <w:sz w:val="22"/>
          <w:szCs w:val="22"/>
        </w:rPr>
        <w:t xml:space="preserve">Classification: </w:t>
      </w:r>
      <w:r w:rsidR="008E4DFB">
        <w:rPr>
          <w:rFonts w:asciiTheme="minorHAnsi" w:hAnsiTheme="minorHAnsi" w:cstheme="minorHAnsi"/>
          <w:color w:val="auto"/>
          <w:sz w:val="22"/>
          <w:szCs w:val="22"/>
        </w:rPr>
        <w:t xml:space="preserve"> </w:t>
      </w:r>
      <w:r w:rsidRPr="008711F3">
        <w:rPr>
          <w:rFonts w:ascii="Calibri" w:eastAsia="STFangsong" w:hAnsi="Calibri"/>
          <w:b w:val="0"/>
          <w:bCs w:val="0"/>
          <w:color w:val="auto"/>
          <w:kern w:val="0"/>
          <w:sz w:val="22"/>
          <w:szCs w:val="22"/>
          <w:lang w:eastAsia="en-US"/>
        </w:rPr>
        <w:t>Unclassified</w:t>
      </w:r>
    </w:p>
    <w:p w14:paraId="677F0E25" w14:textId="77777777" w:rsidR="00E0695E" w:rsidRPr="00236392" w:rsidRDefault="00E0695E" w:rsidP="00D12AA8">
      <w:pPr>
        <w:jc w:val="center"/>
        <w:outlineLvl w:val="0"/>
        <w:rPr>
          <w:rFonts w:asciiTheme="minorHAnsi" w:hAnsiTheme="minorHAnsi" w:cstheme="minorHAnsi"/>
        </w:rPr>
        <w:sectPr w:rsidR="00E0695E" w:rsidRPr="00236392" w:rsidSect="002602E3">
          <w:footerReference w:type="even" r:id="rId11"/>
          <w:footerReference w:type="default" r:id="rId12"/>
          <w:headerReference w:type="first" r:id="rId13"/>
          <w:footerReference w:type="first" r:id="rId14"/>
          <w:pgSz w:w="11900" w:h="16840"/>
          <w:pgMar w:top="2516" w:right="1247" w:bottom="2495" w:left="1247" w:header="709" w:footer="709" w:gutter="0"/>
          <w:cols w:space="708"/>
          <w:titlePg/>
        </w:sectPr>
      </w:pPr>
    </w:p>
    <w:p w14:paraId="104E950F" w14:textId="77777777" w:rsidR="00E0695E" w:rsidRDefault="00BC6E81" w:rsidP="00BC28FC">
      <w:pPr>
        <w:pStyle w:val="Heading1"/>
        <w:spacing w:before="0" w:after="120"/>
        <w:rPr>
          <w:rFonts w:ascii="Arial" w:hAnsi="Arial"/>
        </w:rPr>
      </w:pPr>
      <w:bookmarkStart w:id="1" w:name="_Toc464053922"/>
      <w:bookmarkStart w:id="2" w:name="_Toc521594124"/>
      <w:r>
        <w:rPr>
          <w:rFonts w:ascii="Arial" w:hAnsi="Arial"/>
        </w:rPr>
        <w:lastRenderedPageBreak/>
        <w:t>Overview</w:t>
      </w:r>
      <w:bookmarkEnd w:id="1"/>
      <w:bookmarkEnd w:id="2"/>
    </w:p>
    <w:p w14:paraId="31B91E57" w14:textId="77777777" w:rsidR="007E2014" w:rsidRDefault="00635788" w:rsidP="00996D3D">
      <w:pPr>
        <w:pStyle w:val="ListParagraph"/>
        <w:numPr>
          <w:ilvl w:val="0"/>
          <w:numId w:val="8"/>
        </w:numPr>
        <w:ind w:left="357" w:hanging="357"/>
        <w:contextualSpacing w:val="0"/>
      </w:pPr>
      <w:r>
        <w:t xml:space="preserve">The Australian Government released the Regulator Performance Framework (RPF) in October 2014. The RPF </w:t>
      </w:r>
      <w:r w:rsidR="002735F1">
        <w:t>measures the</w:t>
      </w:r>
      <w:r>
        <w:t xml:space="preserve"> </w:t>
      </w:r>
      <w:r w:rsidRPr="003A4F78">
        <w:t>way</w:t>
      </w:r>
      <w:r>
        <w:t xml:space="preserve"> regulators administer regulations, encouraging them to minimise their impact on regulated entities.</w:t>
      </w:r>
      <w:r w:rsidR="007E2014">
        <w:t xml:space="preserve"> </w:t>
      </w:r>
      <w:r>
        <w:t xml:space="preserve">The RPF consists of six </w:t>
      </w:r>
      <w:r w:rsidRPr="00E22BFD">
        <w:rPr>
          <w:i/>
        </w:rPr>
        <w:t>key performance indicators</w:t>
      </w:r>
      <w:r w:rsidR="00CA7F7B">
        <w:t xml:space="preserve"> (KPIs)</w:t>
      </w:r>
      <w:r w:rsidR="007E2014">
        <w:t>:</w:t>
      </w:r>
    </w:p>
    <w:p w14:paraId="25CDCACC" w14:textId="77777777" w:rsidR="00E22BFD" w:rsidRDefault="007E2014" w:rsidP="00114AC9">
      <w:pPr>
        <w:pStyle w:val="ListParagraph"/>
        <w:numPr>
          <w:ilvl w:val="0"/>
          <w:numId w:val="12"/>
        </w:numPr>
        <w:spacing w:before="240" w:line="360" w:lineRule="auto"/>
      </w:pPr>
      <w:r>
        <w:t>Regulators do not unnecessarily impede the efficient operation of regulated entities</w:t>
      </w:r>
    </w:p>
    <w:p w14:paraId="62E9A9C2" w14:textId="77777777" w:rsidR="00E22BFD" w:rsidRDefault="007E2014" w:rsidP="00114AC9">
      <w:pPr>
        <w:pStyle w:val="ListParagraph"/>
        <w:numPr>
          <w:ilvl w:val="0"/>
          <w:numId w:val="12"/>
        </w:numPr>
        <w:spacing w:line="360" w:lineRule="auto"/>
      </w:pPr>
      <w:r>
        <w:t>Communication with regulated entities is clear, targeted and effective</w:t>
      </w:r>
    </w:p>
    <w:p w14:paraId="3922536A" w14:textId="77777777" w:rsidR="00E22BFD" w:rsidRDefault="007E2014" w:rsidP="00114AC9">
      <w:pPr>
        <w:pStyle w:val="ListParagraph"/>
        <w:numPr>
          <w:ilvl w:val="0"/>
          <w:numId w:val="12"/>
        </w:numPr>
        <w:spacing w:line="360" w:lineRule="auto"/>
      </w:pPr>
      <w:r>
        <w:t>Actions undertaken by regulators are proportionate to the regulatory risk being managed</w:t>
      </w:r>
    </w:p>
    <w:p w14:paraId="74E6DE79" w14:textId="77777777" w:rsidR="00E22BFD" w:rsidRDefault="007E2014" w:rsidP="00114AC9">
      <w:pPr>
        <w:pStyle w:val="ListParagraph"/>
        <w:numPr>
          <w:ilvl w:val="0"/>
          <w:numId w:val="12"/>
        </w:numPr>
        <w:spacing w:line="360" w:lineRule="auto"/>
      </w:pPr>
      <w:r>
        <w:t>Compliance and monitoring approaches are streamlined and co-ordinated</w:t>
      </w:r>
    </w:p>
    <w:p w14:paraId="57F1C769" w14:textId="77777777" w:rsidR="00E22BFD" w:rsidRDefault="007E2014" w:rsidP="00114AC9">
      <w:pPr>
        <w:pStyle w:val="ListParagraph"/>
        <w:numPr>
          <w:ilvl w:val="0"/>
          <w:numId w:val="12"/>
        </w:numPr>
        <w:spacing w:line="360" w:lineRule="auto"/>
      </w:pPr>
      <w:r>
        <w:t>Regulators are open and transparent in their dealings with regulated entities</w:t>
      </w:r>
    </w:p>
    <w:p w14:paraId="717BDFEF" w14:textId="77777777" w:rsidR="007E2014" w:rsidRDefault="007E2014" w:rsidP="00114AC9">
      <w:pPr>
        <w:pStyle w:val="ListParagraph"/>
        <w:numPr>
          <w:ilvl w:val="0"/>
          <w:numId w:val="12"/>
        </w:numPr>
        <w:spacing w:line="360" w:lineRule="auto"/>
      </w:pPr>
      <w:r>
        <w:t>Regulators actively contribute to the continuous improvement of regulatory frameworks</w:t>
      </w:r>
    </w:p>
    <w:p w14:paraId="384AB708" w14:textId="77777777" w:rsidR="00512998" w:rsidRDefault="007E2014" w:rsidP="00E22BFD">
      <w:pPr>
        <w:pStyle w:val="ListParagraph"/>
        <w:numPr>
          <w:ilvl w:val="0"/>
          <w:numId w:val="8"/>
        </w:numPr>
      </w:pPr>
      <w:r>
        <w:t xml:space="preserve">Achievement of the KPIs is demonstrated through </w:t>
      </w:r>
      <w:r w:rsidRPr="00E22BFD">
        <w:rPr>
          <w:i/>
        </w:rPr>
        <w:t>evidence</w:t>
      </w:r>
      <w:r>
        <w:t xml:space="preserve"> </w:t>
      </w:r>
      <w:r w:rsidR="005020D0">
        <w:t xml:space="preserve">(metrics) </w:t>
      </w:r>
      <w:r>
        <w:t>that a regulator</w:t>
      </w:r>
      <w:r w:rsidRPr="007E2014">
        <w:t xml:space="preserve"> </w:t>
      </w:r>
      <w:r>
        <w:t xml:space="preserve">has acted in accordance with good regulatory practice, as articulated in the </w:t>
      </w:r>
      <w:r w:rsidRPr="00E22BFD">
        <w:rPr>
          <w:i/>
        </w:rPr>
        <w:t>measures</w:t>
      </w:r>
      <w:r>
        <w:t xml:space="preserve"> associated with each KPI.</w:t>
      </w:r>
      <w:r w:rsidR="00512998">
        <w:t xml:space="preserve"> </w:t>
      </w:r>
    </w:p>
    <w:p w14:paraId="255C7444" w14:textId="77777777" w:rsidR="002042B2" w:rsidRDefault="00E01144" w:rsidP="00B26FD2">
      <w:pPr>
        <w:pStyle w:val="ListParagraph"/>
        <w:numPr>
          <w:ilvl w:val="0"/>
          <w:numId w:val="8"/>
        </w:numPr>
        <w:spacing w:before="240" w:after="0"/>
        <w:ind w:left="357" w:hanging="357"/>
        <w:contextualSpacing w:val="0"/>
      </w:pPr>
      <w:r>
        <w:t xml:space="preserve">Regulators are required to assess their performance under the RPF each year. The ACNC’s results against each metric are detailed in </w:t>
      </w:r>
      <w:r w:rsidRPr="00E22BFD">
        <w:rPr>
          <w:b/>
        </w:rPr>
        <w:t>A</w:t>
      </w:r>
      <w:r w:rsidR="00E24A2C" w:rsidRPr="00E22BFD">
        <w:rPr>
          <w:b/>
        </w:rPr>
        <w:t>ppendix</w:t>
      </w:r>
      <w:r w:rsidRPr="00E22BFD">
        <w:rPr>
          <w:b/>
        </w:rPr>
        <w:t xml:space="preserve"> A</w:t>
      </w:r>
      <w:r>
        <w:t xml:space="preserve">. </w:t>
      </w:r>
    </w:p>
    <w:p w14:paraId="66E51DAE" w14:textId="77777777" w:rsidR="00E01144" w:rsidRDefault="00E01144" w:rsidP="002042B2">
      <w:pPr>
        <w:pStyle w:val="ListParagraph"/>
        <w:numPr>
          <w:ilvl w:val="0"/>
          <w:numId w:val="8"/>
        </w:numPr>
        <w:spacing w:before="120" w:after="0"/>
        <w:ind w:left="357" w:hanging="357"/>
        <w:contextualSpacing w:val="0"/>
      </w:pPr>
      <w:r>
        <w:t>The body of this Report summarises the ACNC’s performance against each KPI, grouped into the associated measures of good regulatory practice.</w:t>
      </w:r>
    </w:p>
    <w:p w14:paraId="7EB09943" w14:textId="77777777" w:rsidR="00B26FD2" w:rsidRDefault="00B26FD2" w:rsidP="002042B2">
      <w:pPr>
        <w:pStyle w:val="ListParagraph"/>
        <w:numPr>
          <w:ilvl w:val="0"/>
          <w:numId w:val="8"/>
        </w:numPr>
        <w:spacing w:before="120" w:after="0"/>
        <w:ind w:left="357" w:hanging="357"/>
        <w:contextualSpacing w:val="0"/>
      </w:pPr>
      <w:r>
        <w:t>This self-assessment was finalised in August 2018.</w:t>
      </w:r>
    </w:p>
    <w:p w14:paraId="57F4A59C" w14:textId="77777777" w:rsidR="007741F7" w:rsidRDefault="007741F7" w:rsidP="008425C2">
      <w:pPr>
        <w:pStyle w:val="Heading2"/>
        <w:spacing w:after="120"/>
      </w:pPr>
      <w:bookmarkStart w:id="3" w:name="_Toc521594125"/>
      <w:r>
        <w:t>Methodology</w:t>
      </w:r>
      <w:bookmarkEnd w:id="3"/>
    </w:p>
    <w:p w14:paraId="5F823EB1" w14:textId="77777777" w:rsidR="002042B2" w:rsidRDefault="00512998" w:rsidP="00E22BFD">
      <w:pPr>
        <w:pStyle w:val="ListParagraph"/>
        <w:numPr>
          <w:ilvl w:val="0"/>
          <w:numId w:val="8"/>
        </w:numPr>
        <w:ind w:left="357" w:hanging="357"/>
        <w:contextualSpacing w:val="0"/>
      </w:pPr>
      <w:r>
        <w:t xml:space="preserve">The ACNC’s performance was assessed by senior ACNC officers, reviewed by ACNC directors, and endorsed by the </w:t>
      </w:r>
      <w:r w:rsidR="007C1F2E">
        <w:t>Commissioner and Assistant Commissioner</w:t>
      </w:r>
      <w:r>
        <w:t xml:space="preserve">. </w:t>
      </w:r>
    </w:p>
    <w:p w14:paraId="22ABF128" w14:textId="77777777" w:rsidR="00E22BFD" w:rsidRDefault="00512998" w:rsidP="002042B2">
      <w:pPr>
        <w:pStyle w:val="ListParagraph"/>
        <w:numPr>
          <w:ilvl w:val="0"/>
          <w:numId w:val="8"/>
        </w:numPr>
        <w:ind w:left="357" w:hanging="357"/>
        <w:contextualSpacing w:val="0"/>
      </w:pPr>
      <w:r>
        <w:t xml:space="preserve">RPF self-assessments must also be validated through a process of consultation with an approved consultation mechanism. For the ACNC, this is a combined mechanism of the Professional User Group (professional advisers) and Sector User Group (charity representatives). The ACNC’s </w:t>
      </w:r>
      <w:r w:rsidR="007741F7">
        <w:t xml:space="preserve">draft </w:t>
      </w:r>
      <w:r>
        <w:t xml:space="preserve">self-assessment </w:t>
      </w:r>
      <w:r w:rsidR="007741F7">
        <w:t xml:space="preserve">report </w:t>
      </w:r>
      <w:r>
        <w:t xml:space="preserve">was considered by these user groups in </w:t>
      </w:r>
      <w:r w:rsidR="0061667A">
        <w:t>August 2018</w:t>
      </w:r>
      <w:r>
        <w:t xml:space="preserve">; their comments and the ACNC’s response to these comments are detailed at </w:t>
      </w:r>
      <w:r w:rsidRPr="002042B2">
        <w:rPr>
          <w:b/>
        </w:rPr>
        <w:t>A</w:t>
      </w:r>
      <w:r w:rsidR="00E24A2C" w:rsidRPr="002042B2">
        <w:rPr>
          <w:b/>
        </w:rPr>
        <w:t>ppendix</w:t>
      </w:r>
      <w:r w:rsidR="00E24A2C">
        <w:t> </w:t>
      </w:r>
      <w:r w:rsidRPr="002042B2">
        <w:rPr>
          <w:b/>
        </w:rPr>
        <w:t>B</w:t>
      </w:r>
      <w:r>
        <w:t xml:space="preserve">. </w:t>
      </w:r>
    </w:p>
    <w:p w14:paraId="394F51BD" w14:textId="77777777" w:rsidR="00512998" w:rsidRDefault="00512998" w:rsidP="00E22BFD">
      <w:pPr>
        <w:pStyle w:val="ListParagraph"/>
        <w:numPr>
          <w:ilvl w:val="0"/>
          <w:numId w:val="8"/>
        </w:numPr>
        <w:spacing w:before="120" w:after="240"/>
        <w:ind w:left="357" w:hanging="357"/>
        <w:contextualSpacing w:val="0"/>
      </w:pPr>
      <w:r>
        <w:t>Performance against each evidence metric was assessed as met, substantially met, partially met, or not met:</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52"/>
        <w:gridCol w:w="5636"/>
      </w:tblGrid>
      <w:tr w:rsidR="00512998" w:rsidRPr="00C97EFA" w14:paraId="1D1F5955" w14:textId="77777777" w:rsidTr="003C4FAD">
        <w:trPr>
          <w:trHeight w:val="98"/>
          <w:jc w:val="center"/>
        </w:trPr>
        <w:tc>
          <w:tcPr>
            <w:tcW w:w="1452" w:type="dxa"/>
            <w:tcBorders>
              <w:top w:val="single" w:sz="4" w:space="0" w:color="71828C"/>
              <w:left w:val="single" w:sz="4" w:space="0" w:color="71828C"/>
              <w:bottom w:val="single" w:sz="4" w:space="0" w:color="71828C"/>
              <w:right w:val="single" w:sz="4" w:space="0" w:color="71828C"/>
            </w:tcBorders>
            <w:shd w:val="clear" w:color="auto" w:fill="B8CCE4" w:themeFill="accent1" w:themeFillTint="66"/>
            <w:vAlign w:val="center"/>
            <w:hideMark/>
          </w:tcPr>
          <w:p w14:paraId="32FFA111" w14:textId="77777777" w:rsidR="00512998" w:rsidRPr="00C97EFA" w:rsidRDefault="00512998" w:rsidP="002E196A">
            <w:pPr>
              <w:tabs>
                <w:tab w:val="left" w:pos="720"/>
              </w:tabs>
              <w:spacing w:after="0" w:line="276" w:lineRule="auto"/>
              <w:jc w:val="center"/>
              <w:rPr>
                <w:rFonts w:asciiTheme="minorHAnsi" w:eastAsiaTheme="minorHAnsi" w:hAnsiTheme="minorHAnsi" w:cstheme="minorHAnsi"/>
                <w:b/>
                <w:color w:val="000000"/>
                <w:sz w:val="24"/>
                <w:lang w:val="en-GB"/>
              </w:rPr>
            </w:pPr>
            <w:r w:rsidRPr="00C97EFA">
              <w:rPr>
                <w:rFonts w:asciiTheme="minorHAnsi" w:eastAsiaTheme="minorHAnsi" w:hAnsiTheme="minorHAnsi" w:cstheme="minorHAnsi"/>
                <w:b/>
                <w:color w:val="000000"/>
                <w:sz w:val="24"/>
                <w:lang w:val="en-GB"/>
              </w:rPr>
              <w:t>Colour</w:t>
            </w:r>
          </w:p>
        </w:tc>
        <w:tc>
          <w:tcPr>
            <w:tcW w:w="5636" w:type="dxa"/>
            <w:tcBorders>
              <w:top w:val="single" w:sz="4" w:space="0" w:color="71828C"/>
              <w:left w:val="single" w:sz="4" w:space="0" w:color="71828C"/>
              <w:bottom w:val="single" w:sz="4" w:space="0" w:color="71828C"/>
              <w:right w:val="single" w:sz="4" w:space="0" w:color="71828C"/>
            </w:tcBorders>
            <w:shd w:val="clear" w:color="auto" w:fill="B8CCE4" w:themeFill="accent1" w:themeFillTint="66"/>
            <w:vAlign w:val="center"/>
            <w:hideMark/>
          </w:tcPr>
          <w:p w14:paraId="13D2E81D" w14:textId="77777777" w:rsidR="00512998" w:rsidRPr="00C97EFA" w:rsidRDefault="00512998" w:rsidP="002E196A">
            <w:pPr>
              <w:tabs>
                <w:tab w:val="left" w:pos="720"/>
              </w:tabs>
              <w:spacing w:after="0" w:line="276" w:lineRule="auto"/>
              <w:rPr>
                <w:rFonts w:asciiTheme="minorHAnsi" w:eastAsiaTheme="minorHAnsi" w:hAnsiTheme="minorHAnsi" w:cstheme="minorHAnsi"/>
                <w:b/>
                <w:color w:val="000000"/>
                <w:sz w:val="24"/>
                <w:lang w:val="en-GB"/>
              </w:rPr>
            </w:pPr>
            <w:r w:rsidRPr="00C97EFA">
              <w:rPr>
                <w:rFonts w:asciiTheme="minorHAnsi" w:eastAsiaTheme="minorHAnsi" w:hAnsiTheme="minorHAnsi" w:cstheme="minorHAnsi"/>
                <w:b/>
                <w:sz w:val="24"/>
                <w:lang w:val="en-GB"/>
              </w:rPr>
              <w:t xml:space="preserve">Metrics </w:t>
            </w:r>
          </w:p>
        </w:tc>
      </w:tr>
      <w:tr w:rsidR="00512998" w:rsidRPr="00E01144" w14:paraId="2E0F760E" w14:textId="77777777" w:rsidTr="003C4FAD">
        <w:trPr>
          <w:trHeight w:hRule="exact" w:val="369"/>
          <w:jc w:val="center"/>
        </w:trPr>
        <w:tc>
          <w:tcPr>
            <w:tcW w:w="1452" w:type="dxa"/>
            <w:tcBorders>
              <w:top w:val="single" w:sz="4" w:space="0" w:color="71828C"/>
              <w:left w:val="single" w:sz="4" w:space="0" w:color="71828C"/>
              <w:bottom w:val="single" w:sz="4" w:space="0" w:color="71828C"/>
              <w:right w:val="single" w:sz="4" w:space="0" w:color="71828C"/>
            </w:tcBorders>
            <w:shd w:val="clear" w:color="auto" w:fill="auto"/>
            <w:vAlign w:val="center"/>
            <w:hideMark/>
          </w:tcPr>
          <w:p w14:paraId="56B2DF94" w14:textId="77777777" w:rsidR="00512998" w:rsidRPr="00E01144" w:rsidRDefault="00512998" w:rsidP="002E196A">
            <w:pPr>
              <w:tabs>
                <w:tab w:val="left" w:pos="720"/>
              </w:tabs>
              <w:spacing w:after="0" w:line="276" w:lineRule="auto"/>
              <w:rPr>
                <w:rFonts w:asciiTheme="minorHAnsi" w:eastAsiaTheme="minorHAnsi" w:hAnsiTheme="minorHAnsi" w:cstheme="minorHAnsi"/>
                <w:color w:val="000000"/>
                <w:szCs w:val="22"/>
                <w:lang w:val="en-GB"/>
              </w:rPr>
            </w:pPr>
            <w:r w:rsidRPr="00E01144">
              <w:rPr>
                <w:rFonts w:asciiTheme="minorHAnsi" w:eastAsiaTheme="minorHAnsi" w:hAnsiTheme="minorHAnsi" w:cstheme="minorHAnsi"/>
                <w:noProof/>
                <w:szCs w:val="22"/>
                <w:lang w:eastAsia="en-AU"/>
              </w:rPr>
              <mc:AlternateContent>
                <mc:Choice Requires="wps">
                  <w:drawing>
                    <wp:anchor distT="0" distB="0" distL="114300" distR="114300" simplePos="0" relativeHeight="251645440" behindDoc="0" locked="0" layoutInCell="1" allowOverlap="1" wp14:anchorId="74110B15" wp14:editId="4CE30CEE">
                      <wp:simplePos x="0" y="0"/>
                      <wp:positionH relativeFrom="column">
                        <wp:posOffset>306070</wp:posOffset>
                      </wp:positionH>
                      <wp:positionV relativeFrom="paragraph">
                        <wp:posOffset>36830</wp:posOffset>
                      </wp:positionV>
                      <wp:extent cx="144780" cy="144780"/>
                      <wp:effectExtent l="19050" t="19050" r="45720" b="6477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95F67" id="Oval 3" o:spid="_x0000_s1026" style="position:absolute;margin-left:24.1pt;margin-top:2.9pt;width:11.4pt;height: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" fillcolor="#9bbb59" strokecolor="#f2f2f2" strokeweight="3pt">
                      <v:shadow on="t" color="#4e6128" opacity=".5" offset="1pt"/>
                    </v:oval>
                  </w:pict>
                </mc:Fallback>
              </mc:AlternateContent>
            </w:r>
          </w:p>
        </w:tc>
        <w:tc>
          <w:tcPr>
            <w:tcW w:w="5636" w:type="dxa"/>
            <w:tcBorders>
              <w:top w:val="single" w:sz="4" w:space="0" w:color="71828C"/>
              <w:left w:val="single" w:sz="4" w:space="0" w:color="71828C"/>
              <w:bottom w:val="single" w:sz="4" w:space="0" w:color="71828C"/>
              <w:right w:val="single" w:sz="4" w:space="0" w:color="71828C"/>
            </w:tcBorders>
            <w:shd w:val="clear" w:color="auto" w:fill="auto"/>
            <w:vAlign w:val="center"/>
            <w:hideMark/>
          </w:tcPr>
          <w:p w14:paraId="27381878" w14:textId="77777777" w:rsidR="00512998" w:rsidRPr="00E01144" w:rsidRDefault="00512998" w:rsidP="002E196A">
            <w:pPr>
              <w:tabs>
                <w:tab w:val="left" w:pos="720"/>
              </w:tabs>
              <w:spacing w:after="0" w:line="276" w:lineRule="auto"/>
              <w:rPr>
                <w:rFonts w:asciiTheme="minorHAnsi" w:eastAsiaTheme="minorHAnsi" w:hAnsiTheme="minorHAnsi" w:cstheme="minorHAnsi"/>
                <w:szCs w:val="22"/>
                <w:lang w:val="en-GB"/>
              </w:rPr>
            </w:pPr>
            <w:r w:rsidRPr="00E01144">
              <w:rPr>
                <w:rFonts w:asciiTheme="minorHAnsi" w:eastAsiaTheme="minorHAnsi" w:hAnsiTheme="minorHAnsi" w:cstheme="minorHAnsi"/>
                <w:szCs w:val="22"/>
                <w:lang w:val="en-GB"/>
              </w:rPr>
              <w:t>Target met or exceeded</w:t>
            </w:r>
          </w:p>
        </w:tc>
      </w:tr>
      <w:tr w:rsidR="00512998" w:rsidRPr="00E01144" w14:paraId="2474F782" w14:textId="77777777" w:rsidTr="003C4FAD">
        <w:trPr>
          <w:trHeight w:hRule="exact" w:val="369"/>
          <w:jc w:val="center"/>
        </w:trPr>
        <w:tc>
          <w:tcPr>
            <w:tcW w:w="1452" w:type="dxa"/>
            <w:tcBorders>
              <w:top w:val="single" w:sz="4" w:space="0" w:color="71828C"/>
              <w:left w:val="single" w:sz="4" w:space="0" w:color="71828C"/>
              <w:bottom w:val="single" w:sz="4" w:space="0" w:color="71828C"/>
              <w:right w:val="single" w:sz="4" w:space="0" w:color="71828C"/>
            </w:tcBorders>
            <w:shd w:val="clear" w:color="auto" w:fill="auto"/>
            <w:vAlign w:val="center"/>
          </w:tcPr>
          <w:p w14:paraId="2230D559" w14:textId="77777777" w:rsidR="00512998" w:rsidRPr="00E01144" w:rsidRDefault="00512998" w:rsidP="002E196A">
            <w:pPr>
              <w:tabs>
                <w:tab w:val="left" w:pos="720"/>
              </w:tabs>
              <w:spacing w:after="0" w:line="276" w:lineRule="auto"/>
              <w:rPr>
                <w:rFonts w:asciiTheme="minorHAnsi" w:eastAsiaTheme="minorHAnsi" w:hAnsiTheme="minorHAnsi" w:cstheme="minorHAnsi"/>
                <w:color w:val="000000"/>
                <w:szCs w:val="22"/>
                <w:lang w:val="en-GB"/>
              </w:rPr>
            </w:pPr>
            <w:r w:rsidRPr="00E01144">
              <w:rPr>
                <w:rFonts w:asciiTheme="minorHAnsi" w:eastAsiaTheme="minorHAnsi" w:hAnsiTheme="minorHAnsi" w:cstheme="minorHAnsi"/>
                <w:noProof/>
                <w:szCs w:val="22"/>
                <w:lang w:eastAsia="en-AU"/>
              </w:rPr>
              <mc:AlternateContent>
                <mc:Choice Requires="wps">
                  <w:drawing>
                    <wp:anchor distT="0" distB="0" distL="114300" distR="114300" simplePos="0" relativeHeight="251649536" behindDoc="0" locked="0" layoutInCell="1" allowOverlap="1" wp14:anchorId="3D73DA4E" wp14:editId="208AC5FE">
                      <wp:simplePos x="0" y="0"/>
                      <wp:positionH relativeFrom="column">
                        <wp:posOffset>312420</wp:posOffset>
                      </wp:positionH>
                      <wp:positionV relativeFrom="paragraph">
                        <wp:posOffset>-635</wp:posOffset>
                      </wp:positionV>
                      <wp:extent cx="144780" cy="144780"/>
                      <wp:effectExtent l="19050" t="19050" r="45720" b="647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548DD4"/>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87CF13" id="Oval 10" o:spid="_x0000_s1026" style="position:absolute;margin-left:24.6pt;margin-top:-.05pt;width:11.4pt;height:1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" fillcolor="#548dd4" strokecolor="#f2f2f2" strokeweight="3pt">
                      <v:shadow on="t" color="#4e6128" opacity=".5" offset="1pt"/>
                    </v:oval>
                  </w:pict>
                </mc:Fallback>
              </mc:AlternateContent>
            </w:r>
          </w:p>
        </w:tc>
        <w:tc>
          <w:tcPr>
            <w:tcW w:w="5636" w:type="dxa"/>
            <w:tcBorders>
              <w:top w:val="single" w:sz="4" w:space="0" w:color="71828C"/>
              <w:left w:val="single" w:sz="4" w:space="0" w:color="71828C"/>
              <w:bottom w:val="single" w:sz="4" w:space="0" w:color="71828C"/>
              <w:right w:val="single" w:sz="4" w:space="0" w:color="71828C"/>
            </w:tcBorders>
            <w:shd w:val="clear" w:color="auto" w:fill="auto"/>
            <w:vAlign w:val="center"/>
          </w:tcPr>
          <w:p w14:paraId="46757E24" w14:textId="77777777" w:rsidR="00512998" w:rsidRPr="00E01144" w:rsidRDefault="00512998">
            <w:pPr>
              <w:tabs>
                <w:tab w:val="left" w:pos="720"/>
              </w:tabs>
              <w:spacing w:after="0" w:line="276" w:lineRule="auto"/>
              <w:rPr>
                <w:rFonts w:asciiTheme="minorHAnsi" w:eastAsiaTheme="minorHAnsi" w:hAnsiTheme="minorHAnsi" w:cstheme="minorHAnsi"/>
                <w:szCs w:val="22"/>
                <w:lang w:val="en-GB"/>
              </w:rPr>
            </w:pPr>
            <w:r w:rsidRPr="00E01144">
              <w:rPr>
                <w:rFonts w:asciiTheme="minorHAnsi" w:eastAsiaTheme="minorHAnsi" w:hAnsiTheme="minorHAnsi" w:cstheme="minorHAnsi"/>
                <w:szCs w:val="22"/>
                <w:lang w:val="en-GB"/>
              </w:rPr>
              <w:t>Target mostly met</w:t>
            </w:r>
          </w:p>
        </w:tc>
      </w:tr>
      <w:tr w:rsidR="00512998" w:rsidRPr="00E01144" w14:paraId="3BA2D7E5" w14:textId="77777777" w:rsidTr="003C4FAD">
        <w:trPr>
          <w:trHeight w:hRule="exact" w:val="369"/>
          <w:jc w:val="center"/>
        </w:trPr>
        <w:tc>
          <w:tcPr>
            <w:tcW w:w="1452" w:type="dxa"/>
            <w:tcBorders>
              <w:top w:val="single" w:sz="4" w:space="0" w:color="71828C"/>
              <w:left w:val="single" w:sz="4" w:space="0" w:color="71828C"/>
              <w:bottom w:val="single" w:sz="4" w:space="0" w:color="71828C"/>
              <w:right w:val="single" w:sz="4" w:space="0" w:color="71828C"/>
            </w:tcBorders>
            <w:shd w:val="clear" w:color="auto" w:fill="auto"/>
            <w:vAlign w:val="center"/>
          </w:tcPr>
          <w:p w14:paraId="3647F431" w14:textId="77777777" w:rsidR="00512998" w:rsidRPr="00E01144" w:rsidRDefault="00512998" w:rsidP="002E196A">
            <w:pPr>
              <w:tabs>
                <w:tab w:val="left" w:pos="720"/>
              </w:tabs>
              <w:spacing w:after="0" w:line="276" w:lineRule="auto"/>
              <w:rPr>
                <w:rFonts w:asciiTheme="minorHAnsi" w:eastAsiaTheme="minorHAnsi" w:hAnsiTheme="minorHAnsi" w:cstheme="minorHAnsi"/>
                <w:color w:val="000000"/>
                <w:szCs w:val="22"/>
                <w:lang w:val="en-GB"/>
              </w:rPr>
            </w:pPr>
            <w:r w:rsidRPr="00E01144">
              <w:rPr>
                <w:rFonts w:asciiTheme="minorHAnsi" w:eastAsiaTheme="minorHAnsi" w:hAnsiTheme="minorHAnsi" w:cstheme="minorHAnsi"/>
                <w:noProof/>
                <w:szCs w:val="22"/>
                <w:lang w:eastAsia="en-AU"/>
              </w:rPr>
              <mc:AlternateContent>
                <mc:Choice Requires="wps">
                  <w:drawing>
                    <wp:anchor distT="0" distB="0" distL="114300" distR="114300" simplePos="0" relativeHeight="251653632" behindDoc="0" locked="0" layoutInCell="1" allowOverlap="1" wp14:anchorId="06DA6B15" wp14:editId="044AB4E3">
                      <wp:simplePos x="0" y="0"/>
                      <wp:positionH relativeFrom="column">
                        <wp:posOffset>302895</wp:posOffset>
                      </wp:positionH>
                      <wp:positionV relativeFrom="paragraph">
                        <wp:posOffset>26035</wp:posOffset>
                      </wp:positionV>
                      <wp:extent cx="144780" cy="144780"/>
                      <wp:effectExtent l="19050" t="19050" r="45720" b="6477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E36C0A"/>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774569" id="Oval 11" o:spid="_x0000_s1026" style="position:absolute;margin-left:23.85pt;margin-top:2.05pt;width:11.4pt;height:1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" fillcolor="#e36c0a" strokecolor="#f2f2f2" strokeweight="3pt">
                      <v:shadow on="t" color="#4e6128" opacity=".5" offset="1pt"/>
                    </v:oval>
                  </w:pict>
                </mc:Fallback>
              </mc:AlternateContent>
            </w:r>
          </w:p>
        </w:tc>
        <w:tc>
          <w:tcPr>
            <w:tcW w:w="5636" w:type="dxa"/>
            <w:tcBorders>
              <w:top w:val="single" w:sz="4" w:space="0" w:color="71828C"/>
              <w:left w:val="single" w:sz="4" w:space="0" w:color="71828C"/>
              <w:bottom w:val="single" w:sz="4" w:space="0" w:color="71828C"/>
              <w:right w:val="single" w:sz="4" w:space="0" w:color="71828C"/>
            </w:tcBorders>
            <w:shd w:val="clear" w:color="auto" w:fill="auto"/>
            <w:vAlign w:val="center"/>
          </w:tcPr>
          <w:p w14:paraId="016FDDF6" w14:textId="77777777" w:rsidR="00512998" w:rsidRPr="00E01144" w:rsidRDefault="00512998" w:rsidP="002E196A">
            <w:pPr>
              <w:tabs>
                <w:tab w:val="left" w:pos="720"/>
              </w:tabs>
              <w:spacing w:after="0" w:line="276" w:lineRule="auto"/>
              <w:rPr>
                <w:rFonts w:asciiTheme="minorHAnsi" w:eastAsiaTheme="minorHAnsi" w:hAnsiTheme="minorHAnsi" w:cstheme="minorHAnsi"/>
                <w:szCs w:val="22"/>
                <w:lang w:val="en-GB"/>
              </w:rPr>
            </w:pPr>
            <w:r w:rsidRPr="00E01144">
              <w:rPr>
                <w:rFonts w:asciiTheme="minorHAnsi" w:eastAsiaTheme="minorHAnsi" w:hAnsiTheme="minorHAnsi" w:cstheme="minorHAnsi"/>
                <w:szCs w:val="22"/>
                <w:lang w:val="en-GB"/>
              </w:rPr>
              <w:t xml:space="preserve">Some </w:t>
            </w:r>
            <w:r>
              <w:rPr>
                <w:rFonts w:asciiTheme="minorHAnsi" w:eastAsiaTheme="minorHAnsi" w:hAnsiTheme="minorHAnsi" w:cstheme="minorHAnsi"/>
                <w:szCs w:val="22"/>
                <w:lang w:val="en-GB"/>
              </w:rPr>
              <w:t xml:space="preserve">elements of the </w:t>
            </w:r>
            <w:r w:rsidRPr="00E01144">
              <w:rPr>
                <w:rFonts w:asciiTheme="minorHAnsi" w:eastAsiaTheme="minorHAnsi" w:hAnsiTheme="minorHAnsi" w:cstheme="minorHAnsi"/>
                <w:szCs w:val="22"/>
                <w:lang w:val="en-GB"/>
              </w:rPr>
              <w:t>target were met and issues managed</w:t>
            </w:r>
          </w:p>
        </w:tc>
      </w:tr>
      <w:tr w:rsidR="00512998" w:rsidRPr="00E01144" w14:paraId="138BE3C3" w14:textId="77777777" w:rsidTr="003C4FAD">
        <w:trPr>
          <w:trHeight w:hRule="exact" w:val="369"/>
          <w:jc w:val="center"/>
        </w:trPr>
        <w:tc>
          <w:tcPr>
            <w:tcW w:w="1452" w:type="dxa"/>
            <w:tcBorders>
              <w:top w:val="single" w:sz="4" w:space="0" w:color="71828C"/>
              <w:left w:val="single" w:sz="4" w:space="0" w:color="71828C"/>
              <w:bottom w:val="single" w:sz="4" w:space="0" w:color="71828C"/>
              <w:right w:val="single" w:sz="4" w:space="0" w:color="71828C"/>
            </w:tcBorders>
            <w:shd w:val="clear" w:color="auto" w:fill="auto"/>
            <w:vAlign w:val="center"/>
          </w:tcPr>
          <w:p w14:paraId="71414880" w14:textId="77777777" w:rsidR="00512998" w:rsidRPr="00E01144" w:rsidRDefault="00512998" w:rsidP="003C4FAD">
            <w:pPr>
              <w:tabs>
                <w:tab w:val="left" w:pos="720"/>
              </w:tabs>
              <w:spacing w:after="0" w:line="276" w:lineRule="auto"/>
              <w:jc w:val="center"/>
              <w:rPr>
                <w:rFonts w:asciiTheme="minorHAnsi" w:eastAsiaTheme="minorHAnsi" w:hAnsiTheme="minorHAnsi" w:cstheme="minorHAnsi"/>
                <w:color w:val="000000"/>
                <w:szCs w:val="22"/>
                <w:lang w:val="en-GB"/>
              </w:rPr>
            </w:pPr>
            <w:r w:rsidRPr="00E01144">
              <w:rPr>
                <w:rFonts w:asciiTheme="minorHAnsi" w:eastAsiaTheme="minorHAnsi" w:hAnsiTheme="minorHAnsi" w:cstheme="minorHAnsi"/>
                <w:noProof/>
                <w:szCs w:val="22"/>
                <w:lang w:eastAsia="en-AU"/>
              </w:rPr>
              <mc:AlternateContent>
                <mc:Choice Requires="wps">
                  <w:drawing>
                    <wp:anchor distT="0" distB="0" distL="114300" distR="114300" simplePos="0" relativeHeight="251657728" behindDoc="0" locked="0" layoutInCell="1" allowOverlap="1" wp14:anchorId="410A1B0B" wp14:editId="3BBC3FC6">
                      <wp:simplePos x="0" y="0"/>
                      <wp:positionH relativeFrom="column">
                        <wp:posOffset>306070</wp:posOffset>
                      </wp:positionH>
                      <wp:positionV relativeFrom="paragraph">
                        <wp:posOffset>23495</wp:posOffset>
                      </wp:positionV>
                      <wp:extent cx="144780" cy="144780"/>
                      <wp:effectExtent l="19050" t="19050" r="45720" b="6477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FF0000"/>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6D63E" id="Oval 12" o:spid="_x0000_s1026" style="position:absolute;margin-left:24.1pt;margin-top:1.85pt;width:11.4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" fillcolor="red" strokecolor="#f2f2f2" strokeweight="3pt">
                      <v:shadow on="t" color="#4e6128" opacity=".5" offset="1pt"/>
                    </v:oval>
                  </w:pict>
                </mc:Fallback>
              </mc:AlternateContent>
            </w:r>
          </w:p>
        </w:tc>
        <w:tc>
          <w:tcPr>
            <w:tcW w:w="5636" w:type="dxa"/>
            <w:tcBorders>
              <w:top w:val="single" w:sz="4" w:space="0" w:color="71828C"/>
              <w:left w:val="single" w:sz="4" w:space="0" w:color="71828C"/>
              <w:bottom w:val="single" w:sz="4" w:space="0" w:color="71828C"/>
              <w:right w:val="single" w:sz="4" w:space="0" w:color="71828C"/>
            </w:tcBorders>
            <w:shd w:val="clear" w:color="auto" w:fill="auto"/>
            <w:vAlign w:val="center"/>
          </w:tcPr>
          <w:p w14:paraId="708759C6" w14:textId="77777777" w:rsidR="00512998" w:rsidRPr="00E01144" w:rsidRDefault="00512998" w:rsidP="002E196A">
            <w:pPr>
              <w:tabs>
                <w:tab w:val="left" w:pos="720"/>
              </w:tabs>
              <w:spacing w:after="0" w:line="276" w:lineRule="auto"/>
              <w:rPr>
                <w:rFonts w:asciiTheme="minorHAnsi" w:eastAsiaTheme="minorHAnsi" w:hAnsiTheme="minorHAnsi" w:cstheme="minorHAnsi"/>
                <w:szCs w:val="22"/>
                <w:lang w:val="en-GB"/>
              </w:rPr>
            </w:pPr>
            <w:r w:rsidRPr="00E01144">
              <w:rPr>
                <w:rFonts w:asciiTheme="minorHAnsi" w:eastAsiaTheme="minorHAnsi" w:hAnsiTheme="minorHAnsi" w:cstheme="minorHAnsi"/>
                <w:szCs w:val="22"/>
                <w:lang w:val="en-GB"/>
              </w:rPr>
              <w:t xml:space="preserve">No or minimal progress was made against </w:t>
            </w:r>
            <w:r>
              <w:rPr>
                <w:rFonts w:asciiTheme="minorHAnsi" w:eastAsiaTheme="minorHAnsi" w:hAnsiTheme="minorHAnsi" w:cstheme="minorHAnsi"/>
                <w:szCs w:val="22"/>
                <w:lang w:val="en-GB"/>
              </w:rPr>
              <w:t xml:space="preserve">the </w:t>
            </w:r>
            <w:r w:rsidRPr="00E01144">
              <w:rPr>
                <w:rFonts w:asciiTheme="minorHAnsi" w:eastAsiaTheme="minorHAnsi" w:hAnsiTheme="minorHAnsi" w:cstheme="minorHAnsi"/>
                <w:szCs w:val="22"/>
                <w:lang w:val="en-GB"/>
              </w:rPr>
              <w:t>target</w:t>
            </w:r>
          </w:p>
        </w:tc>
      </w:tr>
    </w:tbl>
    <w:p w14:paraId="78AD79CA" w14:textId="77777777" w:rsidR="00512998" w:rsidRDefault="00512998" w:rsidP="00512998">
      <w:pPr>
        <w:spacing w:after="0"/>
      </w:pPr>
    </w:p>
    <w:p w14:paraId="3226454D" w14:textId="77777777" w:rsidR="00512998" w:rsidRPr="00AE755E" w:rsidRDefault="00512998" w:rsidP="00E22BFD">
      <w:pPr>
        <w:pStyle w:val="ListParagraph"/>
        <w:numPr>
          <w:ilvl w:val="0"/>
          <w:numId w:val="8"/>
        </w:numPr>
        <w:spacing w:after="240"/>
      </w:pPr>
      <w:r w:rsidRPr="00AE755E">
        <w:t>Overall performance with respect to each KPI was assessed as excellent, very good, good, fair, or poor:</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364"/>
      </w:tblGrid>
      <w:tr w:rsidR="00512998" w:rsidRPr="00AE755E" w14:paraId="2C5E30C1" w14:textId="77777777" w:rsidTr="009D7A95">
        <w:trPr>
          <w:trHeight w:val="183"/>
          <w:jc w:val="center"/>
        </w:trPr>
        <w:tc>
          <w:tcPr>
            <w:tcW w:w="8364" w:type="dxa"/>
            <w:tcBorders>
              <w:top w:val="single" w:sz="4" w:space="0" w:color="71828C"/>
              <w:left w:val="single" w:sz="4" w:space="0" w:color="71828C"/>
              <w:bottom w:val="single" w:sz="4" w:space="0" w:color="71828C"/>
              <w:right w:val="single" w:sz="4" w:space="0" w:color="71828C"/>
            </w:tcBorders>
            <w:shd w:val="clear" w:color="auto" w:fill="B8CCE4" w:themeFill="accent1" w:themeFillTint="66"/>
            <w:vAlign w:val="center"/>
          </w:tcPr>
          <w:p w14:paraId="013D6BD3" w14:textId="77777777" w:rsidR="00512998" w:rsidRPr="00AE755E" w:rsidRDefault="00512998" w:rsidP="002E196A">
            <w:pPr>
              <w:tabs>
                <w:tab w:val="left" w:pos="720"/>
              </w:tabs>
              <w:spacing w:after="0" w:line="276" w:lineRule="auto"/>
              <w:ind w:left="176"/>
              <w:rPr>
                <w:rFonts w:asciiTheme="minorHAnsi" w:eastAsiaTheme="minorHAnsi" w:hAnsiTheme="minorHAnsi" w:cstheme="minorHAnsi"/>
                <w:b/>
                <w:sz w:val="24"/>
                <w:lang w:val="en-GB"/>
              </w:rPr>
            </w:pPr>
            <w:r w:rsidRPr="00AE755E">
              <w:rPr>
                <w:rFonts w:asciiTheme="minorHAnsi" w:eastAsiaTheme="minorHAnsi" w:hAnsiTheme="minorHAnsi" w:cstheme="minorHAnsi"/>
                <w:b/>
                <w:sz w:val="24"/>
                <w:lang w:val="en-GB"/>
              </w:rPr>
              <w:t>KPI assessment</w:t>
            </w:r>
          </w:p>
        </w:tc>
      </w:tr>
      <w:tr w:rsidR="00512998" w:rsidRPr="00AE755E" w14:paraId="5B4D76D5" w14:textId="77777777" w:rsidTr="009D7A95">
        <w:trPr>
          <w:trHeight w:val="340"/>
          <w:jc w:val="center"/>
        </w:trPr>
        <w:tc>
          <w:tcPr>
            <w:tcW w:w="8364" w:type="dxa"/>
            <w:tcBorders>
              <w:top w:val="single" w:sz="4" w:space="0" w:color="71828C"/>
              <w:left w:val="single" w:sz="4" w:space="0" w:color="71828C"/>
              <w:bottom w:val="single" w:sz="4" w:space="0" w:color="71828C"/>
              <w:right w:val="single" w:sz="4" w:space="0" w:color="71828C"/>
            </w:tcBorders>
            <w:vAlign w:val="center"/>
          </w:tcPr>
          <w:p w14:paraId="3481314F" w14:textId="77777777" w:rsidR="00512998" w:rsidRPr="00AE755E" w:rsidRDefault="00512998" w:rsidP="002E196A">
            <w:pPr>
              <w:tabs>
                <w:tab w:val="left" w:pos="720"/>
              </w:tabs>
              <w:spacing w:after="0" w:line="276" w:lineRule="auto"/>
              <w:ind w:left="176"/>
              <w:rPr>
                <w:rFonts w:asciiTheme="minorHAnsi" w:eastAsiaTheme="minorHAnsi" w:hAnsiTheme="minorHAnsi" w:cstheme="minorHAnsi"/>
                <w:szCs w:val="22"/>
                <w:lang w:val="en-GB"/>
              </w:rPr>
            </w:pPr>
            <w:r w:rsidRPr="00AE755E">
              <w:rPr>
                <w:rFonts w:asciiTheme="minorHAnsi" w:eastAsiaTheme="minorHAnsi" w:hAnsiTheme="minorHAnsi" w:cstheme="minorHAnsi"/>
                <w:b/>
                <w:szCs w:val="22"/>
                <w:lang w:val="en-GB"/>
              </w:rPr>
              <w:t>Excellent</w:t>
            </w:r>
            <w:r w:rsidRPr="00AE755E">
              <w:rPr>
                <w:rFonts w:asciiTheme="minorHAnsi" w:eastAsiaTheme="minorHAnsi" w:hAnsiTheme="minorHAnsi" w:cstheme="minorHAnsi"/>
                <w:szCs w:val="22"/>
                <w:lang w:val="en-GB"/>
              </w:rPr>
              <w:t xml:space="preserve">, with no or minor room for improvement  </w:t>
            </w:r>
          </w:p>
        </w:tc>
      </w:tr>
      <w:tr w:rsidR="00512998" w:rsidRPr="00753EB9" w14:paraId="09B2FB0D" w14:textId="77777777" w:rsidTr="009D7A95">
        <w:trPr>
          <w:trHeight w:val="340"/>
          <w:jc w:val="center"/>
        </w:trPr>
        <w:tc>
          <w:tcPr>
            <w:tcW w:w="8364" w:type="dxa"/>
            <w:tcBorders>
              <w:top w:val="single" w:sz="4" w:space="0" w:color="71828C"/>
              <w:left w:val="single" w:sz="4" w:space="0" w:color="71828C"/>
              <w:bottom w:val="single" w:sz="4" w:space="0" w:color="71828C"/>
              <w:right w:val="single" w:sz="4" w:space="0" w:color="71828C"/>
            </w:tcBorders>
            <w:vAlign w:val="center"/>
          </w:tcPr>
          <w:p w14:paraId="45D4A461" w14:textId="77777777" w:rsidR="00512998" w:rsidRPr="00AE755E" w:rsidRDefault="00512998" w:rsidP="002E196A">
            <w:pPr>
              <w:tabs>
                <w:tab w:val="left" w:pos="720"/>
              </w:tabs>
              <w:spacing w:after="0" w:line="276" w:lineRule="auto"/>
              <w:ind w:left="176"/>
              <w:rPr>
                <w:rFonts w:asciiTheme="minorHAnsi" w:eastAsiaTheme="minorHAnsi" w:hAnsiTheme="minorHAnsi" w:cstheme="minorHAnsi"/>
                <w:szCs w:val="22"/>
                <w:lang w:val="en-GB"/>
              </w:rPr>
            </w:pPr>
            <w:r w:rsidRPr="00AE755E">
              <w:rPr>
                <w:rFonts w:asciiTheme="minorHAnsi" w:eastAsiaTheme="minorHAnsi" w:hAnsiTheme="minorHAnsi" w:cstheme="minorHAnsi"/>
                <w:b/>
                <w:szCs w:val="22"/>
                <w:lang w:val="en-GB"/>
              </w:rPr>
              <w:t>Very Good</w:t>
            </w:r>
            <w:r w:rsidRPr="00AE755E">
              <w:rPr>
                <w:rFonts w:asciiTheme="minorHAnsi" w:eastAsiaTheme="minorHAnsi" w:hAnsiTheme="minorHAnsi" w:cstheme="minorHAnsi"/>
                <w:szCs w:val="22"/>
                <w:lang w:val="en-GB"/>
              </w:rPr>
              <w:t>, with minor room for improvement</w:t>
            </w:r>
          </w:p>
        </w:tc>
      </w:tr>
      <w:tr w:rsidR="00512998" w:rsidRPr="00753EB9" w14:paraId="24423BC9" w14:textId="77777777" w:rsidTr="009D7A95">
        <w:trPr>
          <w:trHeight w:val="340"/>
          <w:jc w:val="center"/>
        </w:trPr>
        <w:tc>
          <w:tcPr>
            <w:tcW w:w="8364" w:type="dxa"/>
            <w:tcBorders>
              <w:top w:val="single" w:sz="4" w:space="0" w:color="71828C"/>
              <w:left w:val="single" w:sz="4" w:space="0" w:color="71828C"/>
              <w:bottom w:val="single" w:sz="4" w:space="0" w:color="71828C"/>
              <w:right w:val="single" w:sz="4" w:space="0" w:color="71828C"/>
            </w:tcBorders>
            <w:vAlign w:val="center"/>
          </w:tcPr>
          <w:p w14:paraId="3255E516" w14:textId="77777777" w:rsidR="00512998" w:rsidRPr="00195EC1" w:rsidRDefault="00512998" w:rsidP="002E196A">
            <w:pPr>
              <w:tabs>
                <w:tab w:val="left" w:pos="720"/>
              </w:tabs>
              <w:spacing w:after="0" w:line="276" w:lineRule="auto"/>
              <w:ind w:left="176"/>
              <w:rPr>
                <w:rFonts w:asciiTheme="minorHAnsi" w:eastAsiaTheme="minorHAnsi" w:hAnsiTheme="minorHAnsi" w:cstheme="minorHAnsi"/>
                <w:szCs w:val="22"/>
                <w:lang w:val="en-GB"/>
              </w:rPr>
            </w:pPr>
            <w:r w:rsidRPr="00195EC1">
              <w:rPr>
                <w:rFonts w:asciiTheme="minorHAnsi" w:eastAsiaTheme="minorHAnsi" w:hAnsiTheme="minorHAnsi" w:cstheme="minorHAnsi"/>
                <w:b/>
                <w:szCs w:val="22"/>
                <w:lang w:val="en-GB"/>
              </w:rPr>
              <w:t>Good</w:t>
            </w:r>
            <w:r w:rsidRPr="00195EC1">
              <w:rPr>
                <w:rFonts w:asciiTheme="minorHAnsi" w:eastAsiaTheme="minorHAnsi" w:hAnsiTheme="minorHAnsi" w:cstheme="minorHAnsi"/>
                <w:szCs w:val="22"/>
                <w:lang w:val="en-GB"/>
              </w:rPr>
              <w:t>, with some room for improvement</w:t>
            </w:r>
          </w:p>
        </w:tc>
      </w:tr>
      <w:tr w:rsidR="00512998" w:rsidRPr="00753EB9" w14:paraId="38A5A895" w14:textId="77777777" w:rsidTr="009D7A95">
        <w:trPr>
          <w:trHeight w:val="340"/>
          <w:jc w:val="center"/>
        </w:trPr>
        <w:tc>
          <w:tcPr>
            <w:tcW w:w="8364" w:type="dxa"/>
            <w:tcBorders>
              <w:top w:val="single" w:sz="4" w:space="0" w:color="71828C"/>
              <w:left w:val="single" w:sz="4" w:space="0" w:color="71828C"/>
              <w:bottom w:val="single" w:sz="4" w:space="0" w:color="71828C"/>
              <w:right w:val="single" w:sz="4" w:space="0" w:color="71828C"/>
            </w:tcBorders>
            <w:vAlign w:val="center"/>
          </w:tcPr>
          <w:p w14:paraId="1BFC49BD" w14:textId="77777777" w:rsidR="00512998" w:rsidRPr="00195EC1" w:rsidRDefault="00512998" w:rsidP="002E196A">
            <w:pPr>
              <w:tabs>
                <w:tab w:val="left" w:pos="720"/>
              </w:tabs>
              <w:spacing w:after="0" w:line="276" w:lineRule="auto"/>
              <w:ind w:left="176"/>
              <w:rPr>
                <w:rFonts w:asciiTheme="minorHAnsi" w:eastAsiaTheme="minorHAnsi" w:hAnsiTheme="minorHAnsi" w:cstheme="minorHAnsi"/>
                <w:szCs w:val="22"/>
                <w:lang w:val="en-GB"/>
              </w:rPr>
            </w:pPr>
            <w:r w:rsidRPr="00195EC1">
              <w:rPr>
                <w:rFonts w:asciiTheme="minorHAnsi" w:eastAsiaTheme="minorHAnsi" w:hAnsiTheme="minorHAnsi" w:cstheme="minorHAnsi"/>
                <w:b/>
                <w:szCs w:val="22"/>
                <w:lang w:val="en-GB"/>
              </w:rPr>
              <w:t>Fair</w:t>
            </w:r>
            <w:r w:rsidRPr="00195EC1">
              <w:rPr>
                <w:rFonts w:asciiTheme="minorHAnsi" w:eastAsiaTheme="minorHAnsi" w:hAnsiTheme="minorHAnsi" w:cstheme="minorHAnsi"/>
                <w:szCs w:val="22"/>
                <w:lang w:val="en-GB"/>
              </w:rPr>
              <w:t>, with significant room for improvement</w:t>
            </w:r>
          </w:p>
        </w:tc>
      </w:tr>
      <w:tr w:rsidR="00512998" w:rsidRPr="00E01144" w14:paraId="4FBD3162" w14:textId="77777777" w:rsidTr="009D7A95">
        <w:trPr>
          <w:trHeight w:val="340"/>
          <w:jc w:val="center"/>
        </w:trPr>
        <w:tc>
          <w:tcPr>
            <w:tcW w:w="8364" w:type="dxa"/>
            <w:tcBorders>
              <w:top w:val="single" w:sz="4" w:space="0" w:color="71828C"/>
              <w:left w:val="single" w:sz="4" w:space="0" w:color="71828C"/>
              <w:bottom w:val="single" w:sz="4" w:space="0" w:color="71828C"/>
              <w:right w:val="single" w:sz="4" w:space="0" w:color="71828C"/>
            </w:tcBorders>
            <w:vAlign w:val="center"/>
          </w:tcPr>
          <w:p w14:paraId="46413C90" w14:textId="77777777" w:rsidR="00512998" w:rsidRPr="00195EC1" w:rsidRDefault="00512998" w:rsidP="002E196A">
            <w:pPr>
              <w:tabs>
                <w:tab w:val="left" w:pos="720"/>
              </w:tabs>
              <w:spacing w:after="0" w:line="276" w:lineRule="auto"/>
              <w:ind w:left="176"/>
              <w:rPr>
                <w:rFonts w:asciiTheme="minorHAnsi" w:eastAsiaTheme="minorHAnsi" w:hAnsiTheme="minorHAnsi" w:cstheme="minorHAnsi"/>
                <w:szCs w:val="22"/>
                <w:lang w:val="en-GB"/>
              </w:rPr>
            </w:pPr>
            <w:r w:rsidRPr="00195EC1">
              <w:rPr>
                <w:rFonts w:asciiTheme="minorHAnsi" w:eastAsiaTheme="minorHAnsi" w:hAnsiTheme="minorHAnsi" w:cstheme="minorHAnsi"/>
                <w:b/>
                <w:szCs w:val="22"/>
                <w:lang w:val="en-GB"/>
              </w:rPr>
              <w:t>Poor</w:t>
            </w:r>
            <w:r w:rsidRPr="00195EC1">
              <w:rPr>
                <w:rFonts w:asciiTheme="minorHAnsi" w:eastAsiaTheme="minorHAnsi" w:hAnsiTheme="minorHAnsi" w:cstheme="minorHAnsi"/>
                <w:szCs w:val="22"/>
                <w:lang w:val="en-GB"/>
              </w:rPr>
              <w:t>, with numerous significant areas for improvement identified</w:t>
            </w:r>
          </w:p>
        </w:tc>
      </w:tr>
    </w:tbl>
    <w:p w14:paraId="281C6AF9" w14:textId="77777777" w:rsidR="00B801ED" w:rsidRPr="00D65DF6" w:rsidRDefault="00EE635D" w:rsidP="00D65DF6">
      <w:pPr>
        <w:pStyle w:val="Heading2"/>
        <w:spacing w:after="120"/>
      </w:pPr>
      <w:bookmarkStart w:id="4" w:name="_Toc521594126"/>
      <w:bookmarkStart w:id="5" w:name="_Toc464053923"/>
      <w:r w:rsidRPr="00D65DF6">
        <w:lastRenderedPageBreak/>
        <w:t>Areas for i</w:t>
      </w:r>
      <w:r w:rsidR="007865FB" w:rsidRPr="00D65DF6">
        <w:t>mprovement identified in</w:t>
      </w:r>
      <w:r w:rsidR="009D7A95">
        <w:t xml:space="preserve"> the</w:t>
      </w:r>
      <w:r w:rsidR="007865FB" w:rsidRPr="00D65DF6">
        <w:t xml:space="preserve"> 2016-17</w:t>
      </w:r>
      <w:r w:rsidR="009D7A95">
        <w:t xml:space="preserve"> RPF report</w:t>
      </w:r>
      <w:bookmarkEnd w:id="4"/>
    </w:p>
    <w:p w14:paraId="65409B49" w14:textId="77777777" w:rsidR="007865FB" w:rsidRDefault="007865FB" w:rsidP="00E22BFD">
      <w:pPr>
        <w:pStyle w:val="ListParagraph"/>
        <w:numPr>
          <w:ilvl w:val="0"/>
          <w:numId w:val="8"/>
        </w:numPr>
      </w:pPr>
      <w:r>
        <w:t xml:space="preserve">In </w:t>
      </w:r>
      <w:r w:rsidR="00CC5160">
        <w:t xml:space="preserve">the </w:t>
      </w:r>
      <w:r>
        <w:t>2016-17</w:t>
      </w:r>
      <w:r w:rsidR="00CC5160">
        <w:t xml:space="preserve"> RPF report</w:t>
      </w:r>
      <w:r>
        <w:t>, the</w:t>
      </w:r>
      <w:r w:rsidR="001A51A4">
        <w:t xml:space="preserve"> following</w:t>
      </w:r>
      <w:r>
        <w:t xml:space="preserve"> </w:t>
      </w:r>
      <w:r w:rsidR="001A51A4">
        <w:t>areas of improvement were identified for each KPI</w:t>
      </w:r>
      <w:r w:rsidR="002042B2">
        <w:t>:</w:t>
      </w:r>
    </w:p>
    <w:tbl>
      <w:tblPr>
        <w:tblStyle w:val="TableGrid10"/>
        <w:tblW w:w="9355" w:type="dxa"/>
        <w:tblInd w:w="421" w:type="dxa"/>
        <w:tblLayout w:type="fixed"/>
        <w:tblLook w:val="04A0" w:firstRow="1" w:lastRow="0" w:firstColumn="1" w:lastColumn="0" w:noHBand="0" w:noVBand="1"/>
      </w:tblPr>
      <w:tblGrid>
        <w:gridCol w:w="567"/>
        <w:gridCol w:w="3118"/>
        <w:gridCol w:w="5670"/>
      </w:tblGrid>
      <w:tr w:rsidR="00F97618" w:rsidRPr="00CC5160" w14:paraId="3E5A53B9" w14:textId="77777777" w:rsidTr="00F97618">
        <w:tc>
          <w:tcPr>
            <w:tcW w:w="567" w:type="dxa"/>
            <w:shd w:val="clear" w:color="auto" w:fill="B8CCE4" w:themeFill="accent1" w:themeFillTint="66"/>
          </w:tcPr>
          <w:p w14:paraId="7A922EA3" w14:textId="77777777" w:rsidR="00F97618" w:rsidRPr="00CC5160" w:rsidRDefault="00F97618" w:rsidP="00F97618">
            <w:pPr>
              <w:tabs>
                <w:tab w:val="left" w:pos="720"/>
              </w:tabs>
              <w:spacing w:after="0" w:line="276" w:lineRule="auto"/>
              <w:rPr>
                <w:rFonts w:asciiTheme="minorHAnsi" w:hAnsiTheme="minorHAnsi" w:cstheme="minorHAnsi"/>
                <w:b/>
                <w:sz w:val="24"/>
                <w:lang w:val="en-GB"/>
              </w:rPr>
            </w:pPr>
            <w:r>
              <w:rPr>
                <w:rFonts w:asciiTheme="minorHAnsi" w:hAnsiTheme="minorHAnsi" w:cstheme="minorHAnsi"/>
                <w:b/>
                <w:sz w:val="24"/>
                <w:lang w:val="en-GB"/>
              </w:rPr>
              <w:t>No</w:t>
            </w:r>
          </w:p>
        </w:tc>
        <w:tc>
          <w:tcPr>
            <w:tcW w:w="3118" w:type="dxa"/>
            <w:shd w:val="clear" w:color="auto" w:fill="B8CCE4" w:themeFill="accent1" w:themeFillTint="66"/>
          </w:tcPr>
          <w:p w14:paraId="55140B5D" w14:textId="77777777" w:rsidR="00F97618" w:rsidRPr="00CC5160" w:rsidRDefault="00F97618" w:rsidP="00CC5160">
            <w:pPr>
              <w:tabs>
                <w:tab w:val="left" w:pos="720"/>
              </w:tabs>
              <w:spacing w:after="0" w:line="276" w:lineRule="auto"/>
              <w:ind w:left="176"/>
              <w:rPr>
                <w:rFonts w:asciiTheme="minorHAnsi" w:hAnsiTheme="minorHAnsi" w:cstheme="minorHAnsi"/>
                <w:b/>
                <w:sz w:val="24"/>
                <w:lang w:val="en-GB"/>
              </w:rPr>
            </w:pPr>
            <w:r w:rsidRPr="00CC5160">
              <w:rPr>
                <w:rFonts w:asciiTheme="minorHAnsi" w:hAnsiTheme="minorHAnsi" w:cstheme="minorHAnsi"/>
                <w:b/>
                <w:sz w:val="24"/>
                <w:lang w:val="en-GB"/>
              </w:rPr>
              <w:t xml:space="preserve">KPI </w:t>
            </w:r>
          </w:p>
        </w:tc>
        <w:tc>
          <w:tcPr>
            <w:tcW w:w="5670" w:type="dxa"/>
            <w:shd w:val="clear" w:color="auto" w:fill="B8CCE4" w:themeFill="accent1" w:themeFillTint="66"/>
          </w:tcPr>
          <w:p w14:paraId="7D04DB34" w14:textId="77777777" w:rsidR="00F97618" w:rsidRPr="00CC5160" w:rsidRDefault="00F97618" w:rsidP="00CC5160">
            <w:pPr>
              <w:tabs>
                <w:tab w:val="left" w:pos="720"/>
              </w:tabs>
              <w:spacing w:after="0" w:line="276" w:lineRule="auto"/>
              <w:ind w:left="176"/>
              <w:rPr>
                <w:rFonts w:asciiTheme="minorHAnsi" w:hAnsiTheme="minorHAnsi" w:cstheme="minorHAnsi"/>
                <w:b/>
                <w:sz w:val="24"/>
                <w:lang w:val="en-GB"/>
              </w:rPr>
            </w:pPr>
            <w:r w:rsidRPr="00CC5160">
              <w:rPr>
                <w:rFonts w:asciiTheme="minorHAnsi" w:hAnsiTheme="minorHAnsi" w:cstheme="minorHAnsi"/>
                <w:b/>
                <w:sz w:val="24"/>
                <w:lang w:val="en-GB"/>
              </w:rPr>
              <w:t>Areas of improvement</w:t>
            </w:r>
          </w:p>
        </w:tc>
      </w:tr>
      <w:tr w:rsidR="00F97618" w14:paraId="4D3A0D46" w14:textId="77777777" w:rsidTr="003C4FAD">
        <w:tc>
          <w:tcPr>
            <w:tcW w:w="567" w:type="dxa"/>
            <w:vAlign w:val="center"/>
          </w:tcPr>
          <w:p w14:paraId="2A4AC789" w14:textId="77777777" w:rsidR="00F97618" w:rsidRDefault="00F97618" w:rsidP="00F97618">
            <w:pPr>
              <w:jc w:val="center"/>
            </w:pPr>
            <w:r>
              <w:t>1</w:t>
            </w:r>
          </w:p>
        </w:tc>
        <w:tc>
          <w:tcPr>
            <w:tcW w:w="3118" w:type="dxa"/>
            <w:vAlign w:val="center"/>
          </w:tcPr>
          <w:p w14:paraId="11D598C1" w14:textId="77777777" w:rsidR="00F97618" w:rsidRDefault="00F97618" w:rsidP="00F97618">
            <w:pPr>
              <w:jc w:val="center"/>
            </w:pPr>
            <w:r w:rsidRPr="00CC5160">
              <w:t>Regulators do not unnecessarily impede the efficient operation of regulated entities</w:t>
            </w:r>
          </w:p>
        </w:tc>
        <w:tc>
          <w:tcPr>
            <w:tcW w:w="5670" w:type="dxa"/>
          </w:tcPr>
          <w:p w14:paraId="4A51F09D" w14:textId="77777777" w:rsidR="00F97618" w:rsidRPr="00AA5705" w:rsidRDefault="00F97618" w:rsidP="005C545E">
            <w:pPr>
              <w:pStyle w:val="ListParagraph"/>
              <w:numPr>
                <w:ilvl w:val="0"/>
                <w:numId w:val="9"/>
              </w:numPr>
              <w:jc w:val="left"/>
              <w:rPr>
                <w:rFonts w:eastAsia="Calibri"/>
              </w:rPr>
            </w:pPr>
            <w:r>
              <w:rPr>
                <w:rFonts w:eastAsia="Calibri"/>
              </w:rPr>
              <w:t>Improving</w:t>
            </w:r>
            <w:r w:rsidRPr="00AA5705">
              <w:rPr>
                <w:rFonts w:eastAsia="Calibri"/>
              </w:rPr>
              <w:t xml:space="preserve"> the</w:t>
            </w:r>
            <w:r>
              <w:rPr>
                <w:rFonts w:eastAsia="Calibri"/>
              </w:rPr>
              <w:t xml:space="preserve"> accessibility and useability of the</w:t>
            </w:r>
            <w:r w:rsidRPr="00AA5705">
              <w:rPr>
                <w:rFonts w:eastAsia="Calibri"/>
              </w:rPr>
              <w:t xml:space="preserve"> ACNC Annual Information Statement </w:t>
            </w:r>
            <w:r>
              <w:rPr>
                <w:rFonts w:eastAsia="Calibri"/>
              </w:rPr>
              <w:t xml:space="preserve">and Charity Portal. </w:t>
            </w:r>
          </w:p>
          <w:p w14:paraId="4488A255" w14:textId="77777777" w:rsidR="00F97618" w:rsidRPr="001B1672" w:rsidRDefault="00F97618" w:rsidP="005C545E">
            <w:pPr>
              <w:pStyle w:val="ListParagraph"/>
              <w:numPr>
                <w:ilvl w:val="0"/>
                <w:numId w:val="9"/>
              </w:numPr>
              <w:jc w:val="left"/>
              <w:rPr>
                <w:rFonts w:eastAsia="Calibri"/>
              </w:rPr>
            </w:pPr>
            <w:r>
              <w:t>Implementing the</w:t>
            </w:r>
            <w:r w:rsidRPr="001B1672">
              <w:t xml:space="preserve"> </w:t>
            </w:r>
            <w:r>
              <w:t xml:space="preserve">recommendations from the </w:t>
            </w:r>
            <w:r w:rsidR="0070248C">
              <w:t xml:space="preserve">independent </w:t>
            </w:r>
            <w:r w:rsidRPr="001B1672">
              <w:t>audit of the registration function</w:t>
            </w:r>
            <w:r>
              <w:t xml:space="preserve">. </w:t>
            </w:r>
          </w:p>
          <w:p w14:paraId="48C874EA" w14:textId="77777777" w:rsidR="00F97618" w:rsidRPr="005112A7" w:rsidRDefault="00F97618" w:rsidP="005C545E">
            <w:pPr>
              <w:pStyle w:val="ListParagraph"/>
              <w:numPr>
                <w:ilvl w:val="0"/>
                <w:numId w:val="9"/>
              </w:numPr>
              <w:jc w:val="left"/>
              <w:rPr>
                <w:rFonts w:eastAsia="Calibri"/>
              </w:rPr>
            </w:pPr>
            <w:r>
              <w:rPr>
                <w:rFonts w:eastAsia="Calibri"/>
              </w:rPr>
              <w:t xml:space="preserve">Continuing discussions </w:t>
            </w:r>
            <w:r w:rsidRPr="00AA5705">
              <w:rPr>
                <w:rFonts w:eastAsia="Calibri"/>
              </w:rPr>
              <w:t xml:space="preserve">with </w:t>
            </w:r>
            <w:r>
              <w:rPr>
                <w:rFonts w:eastAsia="Calibri"/>
              </w:rPr>
              <w:t xml:space="preserve">federal, </w:t>
            </w:r>
            <w:r w:rsidRPr="00AA5705">
              <w:rPr>
                <w:rFonts w:eastAsia="Calibri"/>
              </w:rPr>
              <w:t>state and territory regulators</w:t>
            </w:r>
            <w:r>
              <w:rPr>
                <w:rFonts w:eastAsia="Calibri"/>
              </w:rPr>
              <w:t xml:space="preserve"> to eliminate</w:t>
            </w:r>
            <w:r w:rsidRPr="00AA5705">
              <w:rPr>
                <w:rFonts w:eastAsia="Calibri"/>
              </w:rPr>
              <w:t xml:space="preserve"> duplicated reporting across jurisdictions</w:t>
            </w:r>
            <w:r>
              <w:rPr>
                <w:rFonts w:eastAsia="Calibri"/>
              </w:rPr>
              <w:t xml:space="preserve">.  </w:t>
            </w:r>
            <w:r w:rsidRPr="00AA5705">
              <w:rPr>
                <w:rFonts w:eastAsia="Calibri"/>
              </w:rPr>
              <w:t xml:space="preserve"> </w:t>
            </w:r>
          </w:p>
        </w:tc>
      </w:tr>
      <w:tr w:rsidR="00F97618" w14:paraId="6C980831" w14:textId="77777777" w:rsidTr="003C4FAD">
        <w:tc>
          <w:tcPr>
            <w:tcW w:w="567" w:type="dxa"/>
            <w:vAlign w:val="center"/>
          </w:tcPr>
          <w:p w14:paraId="471C0F38" w14:textId="77777777" w:rsidR="00F97618" w:rsidRDefault="00F97618" w:rsidP="00F97618">
            <w:pPr>
              <w:jc w:val="center"/>
            </w:pPr>
            <w:r>
              <w:rPr>
                <w:rFonts w:eastAsia="STFangsong" w:cs="Times New Roman"/>
                <w:szCs w:val="22"/>
              </w:rPr>
              <w:t>2</w:t>
            </w:r>
          </w:p>
        </w:tc>
        <w:tc>
          <w:tcPr>
            <w:tcW w:w="3118" w:type="dxa"/>
            <w:vAlign w:val="center"/>
          </w:tcPr>
          <w:p w14:paraId="1A80BA8D" w14:textId="77777777" w:rsidR="00F97618" w:rsidRDefault="00F97618" w:rsidP="00F97618">
            <w:pPr>
              <w:jc w:val="center"/>
            </w:pPr>
            <w:r w:rsidRPr="00D05AEF">
              <w:t>Communication with regulated entities is clear, targeted and effective</w:t>
            </w:r>
          </w:p>
        </w:tc>
        <w:tc>
          <w:tcPr>
            <w:tcW w:w="5670" w:type="dxa"/>
          </w:tcPr>
          <w:p w14:paraId="57817994" w14:textId="77777777" w:rsidR="00F97618" w:rsidRDefault="00F97618" w:rsidP="005C545E">
            <w:pPr>
              <w:pStyle w:val="ListParagraph"/>
              <w:numPr>
                <w:ilvl w:val="0"/>
                <w:numId w:val="9"/>
              </w:numPr>
              <w:jc w:val="left"/>
              <w:rPr>
                <w:rFonts w:eastAsia="Calibri"/>
              </w:rPr>
            </w:pPr>
            <w:r>
              <w:rPr>
                <w:rFonts w:eastAsia="Calibri"/>
              </w:rPr>
              <w:t xml:space="preserve">Improving </w:t>
            </w:r>
            <w:r w:rsidRPr="00FC2768">
              <w:rPr>
                <w:rFonts w:eastAsia="Calibri"/>
              </w:rPr>
              <w:t>accessibility of web content</w:t>
            </w:r>
            <w:r>
              <w:rPr>
                <w:rFonts w:eastAsia="Calibri"/>
              </w:rPr>
              <w:t xml:space="preserve"> towards 100</w:t>
            </w:r>
            <w:r w:rsidR="00B9400D">
              <w:rPr>
                <w:rFonts w:eastAsia="Calibri"/>
              </w:rPr>
              <w:t xml:space="preserve"> per cent</w:t>
            </w:r>
            <w:r>
              <w:rPr>
                <w:rFonts w:eastAsia="Calibri"/>
              </w:rPr>
              <w:t xml:space="preserve"> compliance with the </w:t>
            </w:r>
            <w:r w:rsidRPr="0084572A">
              <w:rPr>
                <w:rFonts w:eastAsia="Calibri"/>
              </w:rPr>
              <w:t>Web Content Accessibility Guidelines Version 2.0</w:t>
            </w:r>
            <w:r>
              <w:rPr>
                <w:rFonts w:eastAsia="Calibri"/>
              </w:rPr>
              <w:t>.</w:t>
            </w:r>
          </w:p>
          <w:p w14:paraId="1D22121D" w14:textId="77777777" w:rsidR="00F97618" w:rsidRDefault="00F97618" w:rsidP="005C545E">
            <w:pPr>
              <w:pStyle w:val="ListParagraph"/>
              <w:numPr>
                <w:ilvl w:val="0"/>
                <w:numId w:val="9"/>
              </w:numPr>
              <w:jc w:val="left"/>
              <w:rPr>
                <w:rFonts w:eastAsia="Calibri"/>
              </w:rPr>
            </w:pPr>
            <w:r>
              <w:rPr>
                <w:rFonts w:eastAsia="Calibri"/>
              </w:rPr>
              <w:t>Continuing to use</w:t>
            </w:r>
            <w:r w:rsidRPr="00695F39">
              <w:rPr>
                <w:rFonts w:eastAsia="Calibri"/>
              </w:rPr>
              <w:t xml:space="preserve"> behavioural insight techniques and a sophisticated segmenting approach to ensure communications </w:t>
            </w:r>
            <w:r>
              <w:rPr>
                <w:rFonts w:eastAsia="Calibri"/>
              </w:rPr>
              <w:t>are</w:t>
            </w:r>
            <w:r w:rsidRPr="00695F39">
              <w:rPr>
                <w:rFonts w:eastAsia="Calibri"/>
              </w:rPr>
              <w:t xml:space="preserve"> timely and targeted.</w:t>
            </w:r>
          </w:p>
          <w:p w14:paraId="3F1D92DD" w14:textId="77777777" w:rsidR="00F97618" w:rsidRPr="005112A7" w:rsidRDefault="00F97618" w:rsidP="005C545E">
            <w:pPr>
              <w:pStyle w:val="ListParagraph"/>
              <w:numPr>
                <w:ilvl w:val="0"/>
                <w:numId w:val="9"/>
              </w:numPr>
              <w:jc w:val="left"/>
              <w:rPr>
                <w:rFonts w:eastAsia="Calibri"/>
              </w:rPr>
            </w:pPr>
            <w:r>
              <w:rPr>
                <w:rFonts w:eastAsia="Calibri"/>
              </w:rPr>
              <w:t xml:space="preserve">Updating </w:t>
            </w:r>
            <w:r w:rsidR="005C545E">
              <w:rPr>
                <w:rFonts w:eastAsia="Calibri"/>
              </w:rPr>
              <w:t>c</w:t>
            </w:r>
            <w:r>
              <w:rPr>
                <w:rFonts w:eastAsia="Calibri"/>
              </w:rPr>
              <w:t xml:space="preserve">ompliance </w:t>
            </w:r>
            <w:r w:rsidR="00390CED">
              <w:rPr>
                <w:rFonts w:eastAsia="Calibri"/>
              </w:rPr>
              <w:t>Operational Procedures</w:t>
            </w:r>
            <w:r>
              <w:rPr>
                <w:rFonts w:eastAsia="Calibri"/>
              </w:rPr>
              <w:t xml:space="preserve"> and publish</w:t>
            </w:r>
            <w:r w:rsidR="002270DF">
              <w:rPr>
                <w:rFonts w:eastAsia="Calibri"/>
              </w:rPr>
              <w:t>ing</w:t>
            </w:r>
            <w:r>
              <w:rPr>
                <w:rFonts w:eastAsia="Calibri"/>
              </w:rPr>
              <w:t xml:space="preserve"> them on our website.</w:t>
            </w:r>
          </w:p>
        </w:tc>
      </w:tr>
      <w:tr w:rsidR="00F97618" w14:paraId="0512A800" w14:textId="77777777" w:rsidTr="003C4FAD">
        <w:tc>
          <w:tcPr>
            <w:tcW w:w="567" w:type="dxa"/>
            <w:vAlign w:val="center"/>
          </w:tcPr>
          <w:p w14:paraId="1F7F2CD3" w14:textId="77777777" w:rsidR="00F97618" w:rsidRDefault="00F97618" w:rsidP="00F97618">
            <w:pPr>
              <w:jc w:val="center"/>
            </w:pPr>
            <w:r>
              <w:rPr>
                <w:rFonts w:eastAsia="STFangsong" w:cs="Times New Roman"/>
                <w:szCs w:val="22"/>
              </w:rPr>
              <w:t>3</w:t>
            </w:r>
          </w:p>
        </w:tc>
        <w:tc>
          <w:tcPr>
            <w:tcW w:w="3118" w:type="dxa"/>
            <w:vAlign w:val="center"/>
          </w:tcPr>
          <w:p w14:paraId="6CE75937" w14:textId="77777777" w:rsidR="00F97618" w:rsidRDefault="00F97618" w:rsidP="00F97618">
            <w:pPr>
              <w:jc w:val="center"/>
            </w:pPr>
            <w:r w:rsidRPr="00D05AEF">
              <w:t>Actions undertaken by regulators are proportionate to the regulatory risk being managed</w:t>
            </w:r>
          </w:p>
        </w:tc>
        <w:tc>
          <w:tcPr>
            <w:tcW w:w="5670" w:type="dxa"/>
          </w:tcPr>
          <w:p w14:paraId="02568686" w14:textId="77777777" w:rsidR="00F97618" w:rsidRPr="00CC5160" w:rsidRDefault="00F97618" w:rsidP="005C545E">
            <w:pPr>
              <w:pStyle w:val="ListParagraph"/>
              <w:numPr>
                <w:ilvl w:val="0"/>
                <w:numId w:val="10"/>
              </w:numPr>
              <w:jc w:val="left"/>
            </w:pPr>
            <w:r w:rsidRPr="00CC5160">
              <w:t xml:space="preserve">Improving compliance processes based on recommendations from an independent audit of the compliance function (including expanding access to other government data holdings to inform compliance priorities). </w:t>
            </w:r>
          </w:p>
          <w:p w14:paraId="4C7379C0" w14:textId="77777777" w:rsidR="00F97618" w:rsidRPr="00CC5160" w:rsidRDefault="00F97618" w:rsidP="005C545E">
            <w:pPr>
              <w:pStyle w:val="ListParagraph"/>
              <w:numPr>
                <w:ilvl w:val="0"/>
                <w:numId w:val="10"/>
              </w:numPr>
              <w:jc w:val="left"/>
            </w:pPr>
            <w:r w:rsidRPr="00CC5160">
              <w:t>Publishing the updated compliance processes on our website.</w:t>
            </w:r>
          </w:p>
        </w:tc>
      </w:tr>
      <w:tr w:rsidR="00F97618" w14:paraId="7EFEB333" w14:textId="77777777" w:rsidTr="003C4FAD">
        <w:tc>
          <w:tcPr>
            <w:tcW w:w="567" w:type="dxa"/>
            <w:vAlign w:val="center"/>
          </w:tcPr>
          <w:p w14:paraId="37C3CC09" w14:textId="77777777" w:rsidR="00F97618" w:rsidRDefault="00F97618" w:rsidP="00F97618">
            <w:pPr>
              <w:jc w:val="center"/>
            </w:pPr>
            <w:r>
              <w:rPr>
                <w:rFonts w:eastAsia="STFangsong" w:cs="Times New Roman"/>
                <w:szCs w:val="22"/>
              </w:rPr>
              <w:t>4</w:t>
            </w:r>
          </w:p>
        </w:tc>
        <w:tc>
          <w:tcPr>
            <w:tcW w:w="3118" w:type="dxa"/>
            <w:vAlign w:val="center"/>
          </w:tcPr>
          <w:p w14:paraId="6D774C69" w14:textId="595603D4" w:rsidR="00F97618" w:rsidRDefault="00F97618" w:rsidP="00F97618">
            <w:pPr>
              <w:jc w:val="center"/>
            </w:pPr>
            <w:r w:rsidRPr="00D05AEF">
              <w:t>Compliance and monitoring approaches are streamlined and coordinated</w:t>
            </w:r>
          </w:p>
        </w:tc>
        <w:tc>
          <w:tcPr>
            <w:tcW w:w="5670" w:type="dxa"/>
          </w:tcPr>
          <w:p w14:paraId="14BB3B81" w14:textId="77777777" w:rsidR="00F97618" w:rsidRPr="00CC5160" w:rsidRDefault="00F97618" w:rsidP="005C545E">
            <w:pPr>
              <w:pStyle w:val="ListParagraph"/>
              <w:numPr>
                <w:ilvl w:val="0"/>
                <w:numId w:val="10"/>
              </w:numPr>
              <w:jc w:val="left"/>
            </w:pPr>
            <w:r>
              <w:t>Progressing f</w:t>
            </w:r>
            <w:r w:rsidRPr="00D67BF5">
              <w:t>ormal arrangements with other government agencies (such as AUSTRAC</w:t>
            </w:r>
            <w:r>
              <w:t>)</w:t>
            </w:r>
            <w:r w:rsidR="00B74010">
              <w:t>.</w:t>
            </w:r>
          </w:p>
          <w:p w14:paraId="6DE671F1" w14:textId="77777777" w:rsidR="00F97618" w:rsidRPr="00CC5160" w:rsidRDefault="00F97618" w:rsidP="005C545E">
            <w:pPr>
              <w:pStyle w:val="ListParagraph"/>
              <w:numPr>
                <w:ilvl w:val="0"/>
                <w:numId w:val="10"/>
              </w:numPr>
              <w:jc w:val="left"/>
            </w:pPr>
            <w:r w:rsidRPr="00CC5160">
              <w:t>Expanding use of the Charity Passport.</w:t>
            </w:r>
          </w:p>
          <w:p w14:paraId="3CAE1F97" w14:textId="77777777" w:rsidR="00F97618" w:rsidRPr="00CC5160" w:rsidRDefault="003C4FAD" w:rsidP="005C545E">
            <w:pPr>
              <w:pStyle w:val="ListParagraph"/>
              <w:numPr>
                <w:ilvl w:val="0"/>
                <w:numId w:val="10"/>
              </w:numPr>
              <w:jc w:val="left"/>
            </w:pPr>
            <w:r w:rsidRPr="00CC5160">
              <w:t>Improving the</w:t>
            </w:r>
            <w:r w:rsidR="00F97618" w:rsidRPr="00CC5160">
              <w:t xml:space="preserve"> Charity Portal.</w:t>
            </w:r>
          </w:p>
        </w:tc>
      </w:tr>
      <w:tr w:rsidR="00F97618" w14:paraId="1228544D" w14:textId="77777777" w:rsidTr="003C4FAD">
        <w:tc>
          <w:tcPr>
            <w:tcW w:w="567" w:type="dxa"/>
            <w:vAlign w:val="center"/>
          </w:tcPr>
          <w:p w14:paraId="0C2DB972" w14:textId="77777777" w:rsidR="00F97618" w:rsidRDefault="00F97618" w:rsidP="00F97618">
            <w:pPr>
              <w:jc w:val="center"/>
            </w:pPr>
            <w:r>
              <w:rPr>
                <w:rFonts w:eastAsia="STFangsong" w:cs="Times New Roman"/>
                <w:szCs w:val="22"/>
              </w:rPr>
              <w:t>5</w:t>
            </w:r>
          </w:p>
        </w:tc>
        <w:tc>
          <w:tcPr>
            <w:tcW w:w="3118" w:type="dxa"/>
            <w:vAlign w:val="center"/>
          </w:tcPr>
          <w:p w14:paraId="512FFF17" w14:textId="77777777" w:rsidR="00F97618" w:rsidRDefault="00F97618" w:rsidP="00F97618">
            <w:pPr>
              <w:jc w:val="center"/>
            </w:pPr>
            <w:r w:rsidRPr="00D05AEF">
              <w:t>Regulators are open and transparent in their dealings with regulated entities</w:t>
            </w:r>
          </w:p>
        </w:tc>
        <w:tc>
          <w:tcPr>
            <w:tcW w:w="5670" w:type="dxa"/>
          </w:tcPr>
          <w:p w14:paraId="3959E36E" w14:textId="77777777" w:rsidR="00F97618" w:rsidRPr="00CC5160" w:rsidRDefault="00F97618" w:rsidP="005C545E">
            <w:pPr>
              <w:pStyle w:val="ListParagraph"/>
              <w:numPr>
                <w:ilvl w:val="0"/>
                <w:numId w:val="10"/>
              </w:numPr>
              <w:jc w:val="left"/>
            </w:pPr>
            <w:r w:rsidRPr="00CC5160">
              <w:t xml:space="preserve">Using the independent audit of the compliance function to improve compliance-related policies and procedures, which </w:t>
            </w:r>
            <w:r w:rsidR="002270DF">
              <w:t>will</w:t>
            </w:r>
            <w:r w:rsidR="002270DF" w:rsidRPr="00CC5160">
              <w:t xml:space="preserve"> </w:t>
            </w:r>
            <w:r w:rsidRPr="00CC5160">
              <w:t>be published on our website.</w:t>
            </w:r>
          </w:p>
          <w:p w14:paraId="4876D724" w14:textId="77777777" w:rsidR="00F97618" w:rsidRPr="00CC5160" w:rsidRDefault="00F97618" w:rsidP="005C545E">
            <w:pPr>
              <w:pStyle w:val="ListParagraph"/>
              <w:numPr>
                <w:ilvl w:val="0"/>
                <w:numId w:val="10"/>
              </w:numPr>
              <w:jc w:val="left"/>
            </w:pPr>
            <w:r w:rsidRPr="00CC5160">
              <w:t xml:space="preserve">Using the independent audit of the registration function to improve registration-related policies and procedures, which </w:t>
            </w:r>
            <w:r w:rsidR="002270DF">
              <w:t>will</w:t>
            </w:r>
            <w:r w:rsidR="002270DF" w:rsidRPr="00CC5160">
              <w:t xml:space="preserve"> </w:t>
            </w:r>
            <w:r w:rsidRPr="00CC5160">
              <w:t xml:space="preserve">be published on our website.  </w:t>
            </w:r>
          </w:p>
        </w:tc>
      </w:tr>
      <w:tr w:rsidR="00F97618" w14:paraId="61842D94" w14:textId="77777777" w:rsidTr="003C4FAD">
        <w:trPr>
          <w:trHeight w:val="1097"/>
        </w:trPr>
        <w:tc>
          <w:tcPr>
            <w:tcW w:w="567" w:type="dxa"/>
            <w:vAlign w:val="center"/>
          </w:tcPr>
          <w:p w14:paraId="3036C7BE" w14:textId="77777777" w:rsidR="00F97618" w:rsidRDefault="00F97618" w:rsidP="00F97618">
            <w:pPr>
              <w:jc w:val="center"/>
            </w:pPr>
            <w:r>
              <w:rPr>
                <w:rFonts w:eastAsia="STFangsong" w:cs="Times New Roman"/>
                <w:szCs w:val="22"/>
              </w:rPr>
              <w:t>6</w:t>
            </w:r>
          </w:p>
        </w:tc>
        <w:tc>
          <w:tcPr>
            <w:tcW w:w="3118" w:type="dxa"/>
            <w:vAlign w:val="center"/>
          </w:tcPr>
          <w:p w14:paraId="40999F96" w14:textId="77777777" w:rsidR="00F97618" w:rsidRDefault="00F97618" w:rsidP="00F97618">
            <w:pPr>
              <w:jc w:val="center"/>
            </w:pPr>
            <w:r w:rsidRPr="00D05AEF">
              <w:t>Regulators actively contribute to the continuous improvement of regulatory frameworks</w:t>
            </w:r>
          </w:p>
        </w:tc>
        <w:tc>
          <w:tcPr>
            <w:tcW w:w="5670" w:type="dxa"/>
          </w:tcPr>
          <w:p w14:paraId="608C15FB" w14:textId="77777777" w:rsidR="00F97618" w:rsidRPr="00CC5160" w:rsidRDefault="00F97618" w:rsidP="005C545E">
            <w:pPr>
              <w:pStyle w:val="ListParagraph"/>
              <w:numPr>
                <w:ilvl w:val="0"/>
                <w:numId w:val="10"/>
              </w:numPr>
              <w:jc w:val="left"/>
            </w:pPr>
            <w:r w:rsidRPr="00CC5160">
              <w:t xml:space="preserve">Continuing discussions with all jurisdictions to remove duplicated reporting, simplify and harmonise the regulation of fundraising, and advocate a common definition of charity (including adoption by state and territory revenue offices). </w:t>
            </w:r>
          </w:p>
          <w:p w14:paraId="79342BE0" w14:textId="77777777" w:rsidR="00F97618" w:rsidRPr="00CC5160" w:rsidRDefault="00F97618" w:rsidP="005C545E">
            <w:pPr>
              <w:pStyle w:val="ListParagraph"/>
              <w:numPr>
                <w:ilvl w:val="0"/>
                <w:numId w:val="10"/>
              </w:numPr>
              <w:jc w:val="left"/>
            </w:pPr>
            <w:r w:rsidRPr="00CC5160">
              <w:t>Continu</w:t>
            </w:r>
            <w:r w:rsidR="002270DF">
              <w:t>ing</w:t>
            </w:r>
            <w:r w:rsidRPr="00CC5160">
              <w:t xml:space="preserve"> to improve the provision of feedback to policy departments, including feedback regarding possible improvements to the legislative framework.</w:t>
            </w:r>
          </w:p>
        </w:tc>
      </w:tr>
    </w:tbl>
    <w:p w14:paraId="26D574B0" w14:textId="77777777" w:rsidR="00CC5160" w:rsidRDefault="002042B2" w:rsidP="007A7D74">
      <w:pPr>
        <w:pStyle w:val="ListParagraph"/>
        <w:numPr>
          <w:ilvl w:val="0"/>
          <w:numId w:val="8"/>
        </w:numPr>
        <w:spacing w:before="120"/>
        <w:ind w:left="357" w:hanging="357"/>
      </w:pPr>
      <w:r>
        <w:t>Each of the areas of improvement (identified in the 2016-17 RPF</w:t>
      </w:r>
      <w:r w:rsidR="00165433">
        <w:t xml:space="preserve"> report</w:t>
      </w:r>
      <w:r>
        <w:t xml:space="preserve">) have been addressed </w:t>
      </w:r>
      <w:r w:rsidR="00CC5160">
        <w:t>in this</w:t>
      </w:r>
      <w:r w:rsidR="00165433">
        <w:t xml:space="preserve"> report</w:t>
      </w:r>
      <w:r w:rsidR="00CC5160">
        <w:t>, and the ACNC’s self-assessment in the 2017-18 RPF report is partially based on our success in addressing the areas of improvement listed above</w:t>
      </w:r>
      <w:r>
        <w:t>.</w:t>
      </w:r>
    </w:p>
    <w:p w14:paraId="65EA4952" w14:textId="77777777" w:rsidR="00CC5160" w:rsidRDefault="00CC5160" w:rsidP="00CC5160">
      <w:pPr>
        <w:rPr>
          <w:rFonts w:ascii="Arial Bold" w:hAnsi="Arial Bold"/>
          <w:color w:val="2C7890"/>
          <w:sz w:val="28"/>
          <w:szCs w:val="28"/>
          <w:lang w:eastAsia="en-AU"/>
        </w:rPr>
      </w:pPr>
      <w:r>
        <w:br w:type="page"/>
      </w:r>
    </w:p>
    <w:p w14:paraId="680BB045" w14:textId="77777777" w:rsidR="00D65DF6" w:rsidRDefault="00D65DF6" w:rsidP="00D65DF6">
      <w:pPr>
        <w:pStyle w:val="Heading2"/>
        <w:spacing w:after="120"/>
      </w:pPr>
      <w:bookmarkStart w:id="6" w:name="_Toc521594127"/>
      <w:r>
        <w:lastRenderedPageBreak/>
        <w:t>Overall assessment</w:t>
      </w:r>
      <w:r w:rsidR="009D7A95">
        <w:t xml:space="preserve"> for the </w:t>
      </w:r>
      <w:r w:rsidR="00CC5160">
        <w:t>2017-18</w:t>
      </w:r>
      <w:r w:rsidR="009D7A95">
        <w:t xml:space="preserve"> RPF report</w:t>
      </w:r>
      <w:bookmarkEnd w:id="6"/>
    </w:p>
    <w:p w14:paraId="23762CF9" w14:textId="77777777" w:rsidR="00D65DF6" w:rsidRPr="008711F3" w:rsidRDefault="00D65DF6" w:rsidP="00D65DF6">
      <w:pPr>
        <w:pStyle w:val="ListParagraph"/>
        <w:numPr>
          <w:ilvl w:val="0"/>
          <w:numId w:val="8"/>
        </w:numPr>
        <w:ind w:left="357" w:hanging="357"/>
        <w:contextualSpacing w:val="0"/>
      </w:pPr>
      <w:r w:rsidRPr="00656B5F">
        <w:t>The ACNC considers that it</w:t>
      </w:r>
      <w:r>
        <w:t>s</w:t>
      </w:r>
      <w:r w:rsidRPr="00656B5F">
        <w:t xml:space="preserve"> </w:t>
      </w:r>
      <w:r w:rsidRPr="008711F3">
        <w:t xml:space="preserve">overall performance in achieving the KPIs in 2017-18 was </w:t>
      </w:r>
      <w:r w:rsidRPr="008711F3">
        <w:rPr>
          <w:b/>
          <w:i/>
        </w:rPr>
        <w:t>Very Good, with minor room for improvement</w:t>
      </w:r>
      <w:r w:rsidRPr="008711F3">
        <w:rPr>
          <w:b/>
        </w:rPr>
        <w:t xml:space="preserve">, </w:t>
      </w:r>
      <w:r w:rsidRPr="008711F3">
        <w:t xml:space="preserve">identical to the previous year. </w:t>
      </w:r>
      <w:r w:rsidR="007A7D74" w:rsidRPr="008711F3">
        <w:t xml:space="preserve">Each KPI has also been rated as </w:t>
      </w:r>
      <w:r w:rsidR="007A7D74" w:rsidRPr="008711F3">
        <w:rPr>
          <w:i/>
        </w:rPr>
        <w:t>Very Good, with minor room for improvement.</w:t>
      </w:r>
    </w:p>
    <w:p w14:paraId="07A80123" w14:textId="53DDD061" w:rsidR="00F97618" w:rsidRDefault="00F97618" w:rsidP="00D65DF6">
      <w:pPr>
        <w:pStyle w:val="ListParagraph"/>
        <w:numPr>
          <w:ilvl w:val="0"/>
          <w:numId w:val="8"/>
        </w:numPr>
        <w:ind w:left="357" w:hanging="357"/>
        <w:contextualSpacing w:val="0"/>
      </w:pPr>
      <w:r>
        <w:t>W</w:t>
      </w:r>
      <w:r w:rsidR="007A7D74">
        <w:t xml:space="preserve">hile </w:t>
      </w:r>
      <w:r>
        <w:t>we have made significant</w:t>
      </w:r>
      <w:r w:rsidR="007A7D74">
        <w:t xml:space="preserve"> improvements </w:t>
      </w:r>
      <w:r>
        <w:t>in KPI</w:t>
      </w:r>
      <w:r w:rsidR="007A7D74">
        <w:t>s</w:t>
      </w:r>
      <w:r>
        <w:t xml:space="preserve"> 4 and 5, we</w:t>
      </w:r>
      <w:r w:rsidR="007A7D74">
        <w:t xml:space="preserve"> are committed to making </w:t>
      </w:r>
      <w:r w:rsidR="002270DF">
        <w:t xml:space="preserve">further </w:t>
      </w:r>
      <w:r w:rsidR="007A7D74">
        <w:t xml:space="preserve">improvements </w:t>
      </w:r>
      <w:r>
        <w:t>to minimise our impact on regulated entities.</w:t>
      </w:r>
    </w:p>
    <w:p w14:paraId="5340436D" w14:textId="77777777" w:rsidR="00CC5160" w:rsidRDefault="00CC5160" w:rsidP="00D65DF6">
      <w:pPr>
        <w:pStyle w:val="ListParagraph"/>
        <w:numPr>
          <w:ilvl w:val="0"/>
          <w:numId w:val="8"/>
        </w:numPr>
        <w:ind w:left="357" w:hanging="357"/>
        <w:contextualSpacing w:val="0"/>
      </w:pPr>
      <w:r>
        <w:t xml:space="preserve">Our areas of improvement </w:t>
      </w:r>
      <w:r w:rsidR="00390CED">
        <w:t>identified in 2017</w:t>
      </w:r>
      <w:r>
        <w:t>-18 are below:</w:t>
      </w:r>
    </w:p>
    <w:tbl>
      <w:tblPr>
        <w:tblStyle w:val="TableGrid10"/>
        <w:tblW w:w="9355" w:type="dxa"/>
        <w:tblInd w:w="421" w:type="dxa"/>
        <w:tblLayout w:type="fixed"/>
        <w:tblLook w:val="04A0" w:firstRow="1" w:lastRow="0" w:firstColumn="1" w:lastColumn="0" w:noHBand="0" w:noVBand="1"/>
      </w:tblPr>
      <w:tblGrid>
        <w:gridCol w:w="567"/>
        <w:gridCol w:w="3118"/>
        <w:gridCol w:w="5670"/>
      </w:tblGrid>
      <w:tr w:rsidR="00F97618" w:rsidRPr="00CC5160" w14:paraId="7DAD97C4" w14:textId="77777777" w:rsidTr="00F97618">
        <w:tc>
          <w:tcPr>
            <w:tcW w:w="567" w:type="dxa"/>
            <w:shd w:val="clear" w:color="auto" w:fill="B8CCE4" w:themeFill="accent1" w:themeFillTint="66"/>
          </w:tcPr>
          <w:p w14:paraId="636790C6" w14:textId="77777777" w:rsidR="00F97618" w:rsidRPr="00CC5160" w:rsidRDefault="00F97618" w:rsidP="00F97618">
            <w:pPr>
              <w:tabs>
                <w:tab w:val="left" w:pos="720"/>
              </w:tabs>
              <w:spacing w:after="0" w:line="276" w:lineRule="auto"/>
              <w:rPr>
                <w:rFonts w:asciiTheme="minorHAnsi" w:hAnsiTheme="minorHAnsi" w:cstheme="minorHAnsi"/>
                <w:b/>
                <w:sz w:val="24"/>
                <w:lang w:val="en-GB"/>
              </w:rPr>
            </w:pPr>
            <w:r>
              <w:rPr>
                <w:rFonts w:asciiTheme="minorHAnsi" w:hAnsiTheme="minorHAnsi" w:cstheme="minorHAnsi"/>
                <w:b/>
                <w:sz w:val="24"/>
                <w:lang w:val="en-GB"/>
              </w:rPr>
              <w:t>No</w:t>
            </w:r>
          </w:p>
        </w:tc>
        <w:tc>
          <w:tcPr>
            <w:tcW w:w="3118" w:type="dxa"/>
            <w:shd w:val="clear" w:color="auto" w:fill="B8CCE4" w:themeFill="accent1" w:themeFillTint="66"/>
          </w:tcPr>
          <w:p w14:paraId="1729F684" w14:textId="77777777" w:rsidR="00F97618" w:rsidRPr="00CC5160" w:rsidRDefault="00F97618" w:rsidP="007A7D74">
            <w:pPr>
              <w:tabs>
                <w:tab w:val="left" w:pos="720"/>
              </w:tabs>
              <w:spacing w:after="0" w:line="276" w:lineRule="auto"/>
              <w:ind w:left="176"/>
              <w:rPr>
                <w:rFonts w:asciiTheme="minorHAnsi" w:hAnsiTheme="minorHAnsi" w:cstheme="minorHAnsi"/>
                <w:b/>
                <w:sz w:val="24"/>
                <w:lang w:val="en-GB"/>
              </w:rPr>
            </w:pPr>
            <w:r w:rsidRPr="00CC5160">
              <w:rPr>
                <w:rFonts w:asciiTheme="minorHAnsi" w:hAnsiTheme="minorHAnsi" w:cstheme="minorHAnsi"/>
                <w:b/>
                <w:sz w:val="24"/>
                <w:lang w:val="en-GB"/>
              </w:rPr>
              <w:t xml:space="preserve">KPI </w:t>
            </w:r>
          </w:p>
        </w:tc>
        <w:tc>
          <w:tcPr>
            <w:tcW w:w="5670" w:type="dxa"/>
            <w:shd w:val="clear" w:color="auto" w:fill="B8CCE4" w:themeFill="accent1" w:themeFillTint="66"/>
          </w:tcPr>
          <w:p w14:paraId="3FE2DFB9" w14:textId="77777777" w:rsidR="00F97618" w:rsidRPr="00CC5160" w:rsidRDefault="00F97618" w:rsidP="007A7D74">
            <w:pPr>
              <w:tabs>
                <w:tab w:val="left" w:pos="720"/>
              </w:tabs>
              <w:spacing w:after="0" w:line="276" w:lineRule="auto"/>
              <w:ind w:left="176"/>
              <w:rPr>
                <w:rFonts w:asciiTheme="minorHAnsi" w:hAnsiTheme="minorHAnsi" w:cstheme="minorHAnsi"/>
                <w:b/>
                <w:sz w:val="24"/>
                <w:lang w:val="en-GB"/>
              </w:rPr>
            </w:pPr>
            <w:r w:rsidRPr="00CC5160">
              <w:rPr>
                <w:rFonts w:asciiTheme="minorHAnsi" w:hAnsiTheme="minorHAnsi" w:cstheme="minorHAnsi"/>
                <w:b/>
                <w:sz w:val="24"/>
                <w:lang w:val="en-GB"/>
              </w:rPr>
              <w:t>Areas of improvement</w:t>
            </w:r>
          </w:p>
        </w:tc>
      </w:tr>
      <w:tr w:rsidR="00F97618" w14:paraId="3DE5013E" w14:textId="77777777" w:rsidTr="007A7D74">
        <w:tc>
          <w:tcPr>
            <w:tcW w:w="567" w:type="dxa"/>
            <w:vAlign w:val="center"/>
          </w:tcPr>
          <w:p w14:paraId="07A4390F" w14:textId="77777777" w:rsidR="00F97618" w:rsidRPr="007A7D74" w:rsidRDefault="00F97618" w:rsidP="007A7D74">
            <w:pPr>
              <w:jc w:val="center"/>
              <w:rPr>
                <w:rFonts w:eastAsia="STFangsong" w:cs="Times New Roman"/>
                <w:szCs w:val="22"/>
              </w:rPr>
            </w:pPr>
            <w:r w:rsidRPr="007A7D74">
              <w:rPr>
                <w:rFonts w:eastAsia="STFangsong" w:cs="Times New Roman"/>
                <w:szCs w:val="22"/>
              </w:rPr>
              <w:t>1</w:t>
            </w:r>
          </w:p>
        </w:tc>
        <w:tc>
          <w:tcPr>
            <w:tcW w:w="3118" w:type="dxa"/>
            <w:vAlign w:val="center"/>
          </w:tcPr>
          <w:p w14:paraId="422DBBDB" w14:textId="77777777" w:rsidR="00F97618" w:rsidRPr="007A7D74" w:rsidRDefault="00F97618" w:rsidP="007A7D74">
            <w:pPr>
              <w:jc w:val="center"/>
              <w:rPr>
                <w:rFonts w:eastAsia="STFangsong" w:cs="Times New Roman"/>
                <w:szCs w:val="22"/>
              </w:rPr>
            </w:pPr>
            <w:r w:rsidRPr="007A7D74">
              <w:rPr>
                <w:rFonts w:eastAsia="STFangsong" w:cs="Times New Roman"/>
                <w:szCs w:val="22"/>
              </w:rPr>
              <w:t>Regulators do not unnecessarily impede the efficient operation of regulated entities</w:t>
            </w:r>
          </w:p>
        </w:tc>
        <w:tc>
          <w:tcPr>
            <w:tcW w:w="5670" w:type="dxa"/>
          </w:tcPr>
          <w:p w14:paraId="6F8C9E5E" w14:textId="7F8FF672" w:rsidR="00F97618" w:rsidRPr="00AA5705" w:rsidRDefault="00383FC2" w:rsidP="007902B9">
            <w:pPr>
              <w:pStyle w:val="ListParagraph"/>
              <w:numPr>
                <w:ilvl w:val="0"/>
                <w:numId w:val="9"/>
              </w:numPr>
              <w:jc w:val="left"/>
              <w:rPr>
                <w:rFonts w:eastAsia="Calibri"/>
              </w:rPr>
            </w:pPr>
            <w:r>
              <w:rPr>
                <w:rFonts w:eastAsia="Calibri"/>
              </w:rPr>
              <w:t xml:space="preserve">Improving </w:t>
            </w:r>
            <w:r w:rsidR="00F97618">
              <w:rPr>
                <w:rFonts w:eastAsia="Calibri"/>
              </w:rPr>
              <w:t>t</w:t>
            </w:r>
            <w:r w:rsidR="00F97618" w:rsidRPr="00AA5705">
              <w:rPr>
                <w:rFonts w:eastAsia="Calibri"/>
              </w:rPr>
              <w:t xml:space="preserve">he </w:t>
            </w:r>
            <w:r w:rsidR="00F97618">
              <w:rPr>
                <w:rFonts w:eastAsia="Calibri"/>
              </w:rPr>
              <w:t xml:space="preserve">accessibility and useability of the </w:t>
            </w:r>
            <w:r w:rsidR="00F97618" w:rsidRPr="00AA5705">
              <w:rPr>
                <w:rFonts w:eastAsia="Calibri"/>
              </w:rPr>
              <w:t>ACNC</w:t>
            </w:r>
            <w:r w:rsidR="00F97618">
              <w:rPr>
                <w:rFonts w:eastAsia="Calibri"/>
              </w:rPr>
              <w:t xml:space="preserve">’s website, forms and the Charity Portal </w:t>
            </w:r>
          </w:p>
          <w:p w14:paraId="00A465E0" w14:textId="50EE721E" w:rsidR="00F97618" w:rsidRPr="00F15D61" w:rsidRDefault="00383FC2" w:rsidP="007902B9">
            <w:pPr>
              <w:pStyle w:val="ListParagraph"/>
              <w:numPr>
                <w:ilvl w:val="0"/>
                <w:numId w:val="9"/>
              </w:numPr>
              <w:jc w:val="left"/>
              <w:rPr>
                <w:rFonts w:eastAsia="Calibri"/>
              </w:rPr>
            </w:pPr>
            <w:r>
              <w:rPr>
                <w:rFonts w:eastAsia="Calibri"/>
              </w:rPr>
              <w:t xml:space="preserve">Continuing </w:t>
            </w:r>
            <w:r w:rsidR="00F97618">
              <w:rPr>
                <w:rFonts w:eastAsia="Calibri"/>
              </w:rPr>
              <w:t xml:space="preserve">to </w:t>
            </w:r>
            <w:r w:rsidR="00F97618" w:rsidRPr="00AA5705">
              <w:rPr>
                <w:rFonts w:eastAsia="Calibri"/>
              </w:rPr>
              <w:t xml:space="preserve">work with </w:t>
            </w:r>
            <w:r w:rsidR="00F97618">
              <w:rPr>
                <w:rFonts w:eastAsia="Calibri"/>
              </w:rPr>
              <w:t xml:space="preserve">federal, </w:t>
            </w:r>
            <w:r w:rsidR="00F97618" w:rsidRPr="00AA5705">
              <w:rPr>
                <w:rFonts w:eastAsia="Calibri"/>
              </w:rPr>
              <w:t>state and territory regulators</w:t>
            </w:r>
            <w:r w:rsidR="00F97618">
              <w:rPr>
                <w:rFonts w:eastAsia="Calibri"/>
              </w:rPr>
              <w:t xml:space="preserve"> to eliminate</w:t>
            </w:r>
            <w:r w:rsidR="00F97618" w:rsidRPr="00AA5705">
              <w:rPr>
                <w:rFonts w:eastAsia="Calibri"/>
              </w:rPr>
              <w:t xml:space="preserve"> duplicated reporting</w:t>
            </w:r>
            <w:r w:rsidR="00F97618">
              <w:rPr>
                <w:rFonts w:eastAsia="Calibri"/>
              </w:rPr>
              <w:t xml:space="preserve">.  </w:t>
            </w:r>
            <w:r w:rsidR="00F97618" w:rsidRPr="00AA5705">
              <w:rPr>
                <w:rFonts w:eastAsia="Calibri"/>
              </w:rPr>
              <w:t xml:space="preserve"> </w:t>
            </w:r>
          </w:p>
        </w:tc>
      </w:tr>
      <w:tr w:rsidR="00F97618" w14:paraId="385F50A1" w14:textId="77777777" w:rsidTr="007A7D74">
        <w:tc>
          <w:tcPr>
            <w:tcW w:w="567" w:type="dxa"/>
            <w:vAlign w:val="center"/>
          </w:tcPr>
          <w:p w14:paraId="156D6A37" w14:textId="77777777" w:rsidR="00F97618" w:rsidRPr="007A7D74" w:rsidRDefault="00F97618" w:rsidP="007A7D74">
            <w:pPr>
              <w:jc w:val="center"/>
              <w:rPr>
                <w:rFonts w:eastAsia="STFangsong" w:cs="Times New Roman"/>
                <w:szCs w:val="22"/>
              </w:rPr>
            </w:pPr>
            <w:r>
              <w:rPr>
                <w:rFonts w:eastAsia="STFangsong" w:cs="Times New Roman"/>
                <w:szCs w:val="22"/>
              </w:rPr>
              <w:t>2</w:t>
            </w:r>
          </w:p>
        </w:tc>
        <w:tc>
          <w:tcPr>
            <w:tcW w:w="3118" w:type="dxa"/>
            <w:vAlign w:val="center"/>
          </w:tcPr>
          <w:p w14:paraId="219071E3" w14:textId="77777777" w:rsidR="00F97618" w:rsidRPr="007A7D74" w:rsidRDefault="00F97618" w:rsidP="007A7D74">
            <w:pPr>
              <w:jc w:val="center"/>
              <w:rPr>
                <w:rFonts w:eastAsia="STFangsong" w:cs="Times New Roman"/>
                <w:szCs w:val="22"/>
              </w:rPr>
            </w:pPr>
            <w:r w:rsidRPr="007A7D74">
              <w:rPr>
                <w:rFonts w:eastAsia="STFangsong" w:cs="Times New Roman"/>
                <w:szCs w:val="22"/>
              </w:rPr>
              <w:t>Communication with regulated entities is clear, targeted and effective</w:t>
            </w:r>
          </w:p>
        </w:tc>
        <w:tc>
          <w:tcPr>
            <w:tcW w:w="5670" w:type="dxa"/>
          </w:tcPr>
          <w:p w14:paraId="3D6DC3E4" w14:textId="27CD93FD" w:rsidR="00F97618" w:rsidRDefault="00383FC2" w:rsidP="007902B9">
            <w:pPr>
              <w:pStyle w:val="ListParagraph"/>
              <w:numPr>
                <w:ilvl w:val="0"/>
                <w:numId w:val="9"/>
              </w:numPr>
              <w:jc w:val="left"/>
              <w:rPr>
                <w:rFonts w:eastAsia="Calibri"/>
              </w:rPr>
            </w:pPr>
            <w:r>
              <w:rPr>
                <w:rFonts w:eastAsia="Calibri"/>
              </w:rPr>
              <w:t>Improving</w:t>
            </w:r>
            <w:r w:rsidRPr="00FC2768">
              <w:rPr>
                <w:rFonts w:eastAsia="Calibri"/>
              </w:rPr>
              <w:t xml:space="preserve"> </w:t>
            </w:r>
            <w:r w:rsidR="00F97618" w:rsidRPr="00FC2768">
              <w:rPr>
                <w:rFonts w:eastAsia="Calibri"/>
              </w:rPr>
              <w:t>accessibility of web content</w:t>
            </w:r>
            <w:r w:rsidR="00F97618">
              <w:rPr>
                <w:rFonts w:eastAsia="Calibri"/>
              </w:rPr>
              <w:t xml:space="preserve"> towards 100</w:t>
            </w:r>
            <w:r w:rsidR="00B9400D">
              <w:rPr>
                <w:rFonts w:eastAsia="Calibri"/>
              </w:rPr>
              <w:t xml:space="preserve"> per cent</w:t>
            </w:r>
            <w:r w:rsidR="00F97618">
              <w:rPr>
                <w:rFonts w:eastAsia="Calibri"/>
              </w:rPr>
              <w:t xml:space="preserve"> compliance with the </w:t>
            </w:r>
            <w:r w:rsidR="00F97618" w:rsidRPr="0084572A">
              <w:rPr>
                <w:rFonts w:eastAsia="Calibri"/>
              </w:rPr>
              <w:t>Web Content Accessibility Guidelines Version 2.0</w:t>
            </w:r>
          </w:p>
          <w:p w14:paraId="3700E509" w14:textId="790CA384" w:rsidR="00F97618" w:rsidRPr="00F15D61" w:rsidRDefault="00383FC2" w:rsidP="007902B9">
            <w:pPr>
              <w:pStyle w:val="ListParagraph"/>
              <w:numPr>
                <w:ilvl w:val="0"/>
                <w:numId w:val="9"/>
              </w:numPr>
              <w:jc w:val="left"/>
              <w:rPr>
                <w:rFonts w:eastAsia="Calibri" w:cs="Times New Roman"/>
              </w:rPr>
            </w:pPr>
            <w:r>
              <w:rPr>
                <w:rFonts w:eastAsia="Calibri"/>
              </w:rPr>
              <w:t>C</w:t>
            </w:r>
            <w:r w:rsidRPr="00A85346">
              <w:rPr>
                <w:rFonts w:eastAsia="Calibri"/>
              </w:rPr>
              <w:t>ontinu</w:t>
            </w:r>
            <w:r>
              <w:rPr>
                <w:rFonts w:eastAsia="Calibri"/>
              </w:rPr>
              <w:t>ing</w:t>
            </w:r>
            <w:r w:rsidRPr="00A85346">
              <w:rPr>
                <w:rFonts w:eastAsia="Calibri"/>
              </w:rPr>
              <w:t xml:space="preserve"> </w:t>
            </w:r>
            <w:r w:rsidR="00F97618" w:rsidRPr="00A85346">
              <w:rPr>
                <w:rFonts w:eastAsia="Calibri"/>
              </w:rPr>
              <w:t>to improve communication with charities through refining guidance and tailoring emails</w:t>
            </w:r>
            <w:r w:rsidR="00F97618">
              <w:rPr>
                <w:rFonts w:eastAsia="Calibri"/>
              </w:rPr>
              <w:t>.</w:t>
            </w:r>
          </w:p>
        </w:tc>
      </w:tr>
      <w:tr w:rsidR="00F97618" w14:paraId="3A5C3F54" w14:textId="77777777" w:rsidTr="007A7D74">
        <w:tc>
          <w:tcPr>
            <w:tcW w:w="567" w:type="dxa"/>
            <w:vAlign w:val="center"/>
          </w:tcPr>
          <w:p w14:paraId="3BA4F978" w14:textId="77777777" w:rsidR="00F97618" w:rsidRPr="007A7D74" w:rsidRDefault="00F97618" w:rsidP="007A7D74">
            <w:pPr>
              <w:jc w:val="center"/>
              <w:rPr>
                <w:rFonts w:eastAsia="STFangsong" w:cs="Times New Roman"/>
                <w:szCs w:val="22"/>
              </w:rPr>
            </w:pPr>
            <w:r>
              <w:rPr>
                <w:rFonts w:eastAsia="STFangsong" w:cs="Times New Roman"/>
                <w:szCs w:val="22"/>
              </w:rPr>
              <w:t>3</w:t>
            </w:r>
          </w:p>
        </w:tc>
        <w:tc>
          <w:tcPr>
            <w:tcW w:w="3118" w:type="dxa"/>
            <w:vAlign w:val="center"/>
          </w:tcPr>
          <w:p w14:paraId="43034749" w14:textId="77777777" w:rsidR="00F97618" w:rsidRPr="007A7D74" w:rsidRDefault="00F97618" w:rsidP="007A7D74">
            <w:pPr>
              <w:jc w:val="center"/>
              <w:rPr>
                <w:rFonts w:eastAsia="STFangsong" w:cs="Times New Roman"/>
                <w:szCs w:val="22"/>
              </w:rPr>
            </w:pPr>
            <w:r w:rsidRPr="007A7D74">
              <w:rPr>
                <w:rFonts w:eastAsia="STFangsong" w:cs="Times New Roman"/>
                <w:szCs w:val="22"/>
              </w:rPr>
              <w:t>Actions undertaken by regulators are proportionate to the regulatory risk being managed</w:t>
            </w:r>
          </w:p>
        </w:tc>
        <w:tc>
          <w:tcPr>
            <w:tcW w:w="5670" w:type="dxa"/>
          </w:tcPr>
          <w:p w14:paraId="6FD29B6D" w14:textId="74E9F27D" w:rsidR="00F97618" w:rsidRDefault="00383FC2" w:rsidP="007902B9">
            <w:pPr>
              <w:pStyle w:val="ListParagraph"/>
              <w:numPr>
                <w:ilvl w:val="0"/>
                <w:numId w:val="9"/>
              </w:numPr>
              <w:jc w:val="left"/>
              <w:rPr>
                <w:rFonts w:eastAsia="Calibri"/>
              </w:rPr>
            </w:pPr>
            <w:r>
              <w:rPr>
                <w:rFonts w:eastAsia="Calibri"/>
              </w:rPr>
              <w:t xml:space="preserve">Finalising </w:t>
            </w:r>
            <w:r w:rsidR="00F97618">
              <w:rPr>
                <w:rFonts w:eastAsia="Calibri"/>
              </w:rPr>
              <w:t>a review of the ACNC’s Regulatory Approach to confirm that it remains up-to-date and fit for purpose</w:t>
            </w:r>
          </w:p>
          <w:p w14:paraId="7DA1919D" w14:textId="3D504393" w:rsidR="00F97618" w:rsidRPr="00EA6265" w:rsidRDefault="00383FC2" w:rsidP="007902B9">
            <w:pPr>
              <w:pStyle w:val="ListParagraph"/>
              <w:numPr>
                <w:ilvl w:val="0"/>
                <w:numId w:val="9"/>
              </w:numPr>
              <w:spacing w:after="0"/>
              <w:jc w:val="left"/>
              <w:rPr>
                <w:rFonts w:eastAsia="Calibri"/>
              </w:rPr>
            </w:pPr>
            <w:r>
              <w:rPr>
                <w:rFonts w:eastAsia="Calibri"/>
              </w:rPr>
              <w:t>Increasing</w:t>
            </w:r>
            <w:r w:rsidRPr="00EA6265">
              <w:rPr>
                <w:rFonts w:eastAsia="Calibri"/>
              </w:rPr>
              <w:t xml:space="preserve"> </w:t>
            </w:r>
            <w:r w:rsidR="00EA6265" w:rsidRPr="00EA6265">
              <w:rPr>
                <w:rFonts w:eastAsia="Calibri"/>
              </w:rPr>
              <w:t>access to other data holdings (such as data held by AUSTRAC and the Australian Criminal Intelligence Commission) and continu</w:t>
            </w:r>
            <w:r w:rsidR="00EA6265">
              <w:rPr>
                <w:rFonts w:eastAsia="Calibri"/>
              </w:rPr>
              <w:t>ing</w:t>
            </w:r>
            <w:r w:rsidR="00EA6265" w:rsidRPr="00EA6265">
              <w:rPr>
                <w:rFonts w:eastAsia="Calibri"/>
              </w:rPr>
              <w:t xml:space="preserve"> to use a wide range of data and intelligence to inform our understanding of risk.</w:t>
            </w:r>
          </w:p>
        </w:tc>
      </w:tr>
      <w:tr w:rsidR="00F97618" w14:paraId="57D776C8" w14:textId="77777777" w:rsidTr="007A7D74">
        <w:tc>
          <w:tcPr>
            <w:tcW w:w="567" w:type="dxa"/>
            <w:vAlign w:val="center"/>
          </w:tcPr>
          <w:p w14:paraId="7FF646C3" w14:textId="77777777" w:rsidR="00F97618" w:rsidRPr="007A7D74" w:rsidRDefault="00F97618" w:rsidP="007A7D74">
            <w:pPr>
              <w:jc w:val="center"/>
              <w:rPr>
                <w:rFonts w:eastAsia="STFangsong" w:cs="Times New Roman"/>
                <w:szCs w:val="22"/>
              </w:rPr>
            </w:pPr>
            <w:r>
              <w:rPr>
                <w:rFonts w:eastAsia="STFangsong" w:cs="Times New Roman"/>
                <w:szCs w:val="22"/>
              </w:rPr>
              <w:t>4</w:t>
            </w:r>
          </w:p>
        </w:tc>
        <w:tc>
          <w:tcPr>
            <w:tcW w:w="3118" w:type="dxa"/>
            <w:vAlign w:val="center"/>
          </w:tcPr>
          <w:p w14:paraId="2605B176" w14:textId="77777777" w:rsidR="00F97618" w:rsidRPr="007A7D74" w:rsidRDefault="00F97618" w:rsidP="007A7D74">
            <w:pPr>
              <w:jc w:val="center"/>
              <w:rPr>
                <w:rFonts w:eastAsia="STFangsong" w:cs="Times New Roman"/>
                <w:szCs w:val="22"/>
              </w:rPr>
            </w:pPr>
            <w:r w:rsidRPr="007A7D74">
              <w:rPr>
                <w:rFonts w:eastAsia="STFangsong" w:cs="Times New Roman"/>
                <w:szCs w:val="22"/>
              </w:rPr>
              <w:t>Compliance and monitoring approaches are streamlined and co-ordinated</w:t>
            </w:r>
          </w:p>
        </w:tc>
        <w:tc>
          <w:tcPr>
            <w:tcW w:w="5670" w:type="dxa"/>
          </w:tcPr>
          <w:p w14:paraId="4375B0D7" w14:textId="4B3D38C4" w:rsidR="00F97618" w:rsidRDefault="00383FC2" w:rsidP="007902B9">
            <w:pPr>
              <w:pStyle w:val="ListParagraph"/>
              <w:numPr>
                <w:ilvl w:val="0"/>
                <w:numId w:val="10"/>
              </w:numPr>
              <w:jc w:val="left"/>
            </w:pPr>
            <w:r>
              <w:t>I</w:t>
            </w:r>
            <w:r w:rsidR="00F97618">
              <w:t xml:space="preserve">mproving the accessibility and useability of the ACNC’s website, forms and the Charity Portal </w:t>
            </w:r>
          </w:p>
          <w:p w14:paraId="150E120F" w14:textId="06B7934B" w:rsidR="00F97618" w:rsidRPr="00F15D61" w:rsidRDefault="00383FC2" w:rsidP="007902B9">
            <w:pPr>
              <w:pStyle w:val="ListParagraph"/>
              <w:numPr>
                <w:ilvl w:val="0"/>
                <w:numId w:val="10"/>
              </w:numPr>
              <w:jc w:val="left"/>
            </w:pPr>
            <w:r>
              <w:t xml:space="preserve">Continuing </w:t>
            </w:r>
            <w:r w:rsidR="00F97618">
              <w:t>to promote and expand use of the Charity Passport.</w:t>
            </w:r>
          </w:p>
        </w:tc>
      </w:tr>
      <w:tr w:rsidR="00F97618" w14:paraId="4333A421" w14:textId="77777777" w:rsidTr="007A7D74">
        <w:tc>
          <w:tcPr>
            <w:tcW w:w="567" w:type="dxa"/>
            <w:vAlign w:val="center"/>
          </w:tcPr>
          <w:p w14:paraId="7FF4AC5F" w14:textId="77777777" w:rsidR="00F97618" w:rsidRPr="007A7D74" w:rsidRDefault="00F97618" w:rsidP="007A7D74">
            <w:pPr>
              <w:jc w:val="center"/>
              <w:rPr>
                <w:rFonts w:eastAsia="STFangsong" w:cs="Times New Roman"/>
                <w:szCs w:val="22"/>
              </w:rPr>
            </w:pPr>
            <w:r>
              <w:rPr>
                <w:rFonts w:eastAsia="STFangsong" w:cs="Times New Roman"/>
                <w:szCs w:val="22"/>
              </w:rPr>
              <w:t>5</w:t>
            </w:r>
          </w:p>
        </w:tc>
        <w:tc>
          <w:tcPr>
            <w:tcW w:w="3118" w:type="dxa"/>
            <w:vAlign w:val="center"/>
          </w:tcPr>
          <w:p w14:paraId="6885B0EB" w14:textId="77777777" w:rsidR="00F97618" w:rsidRPr="007A7D74" w:rsidRDefault="00F97618" w:rsidP="007A7D74">
            <w:pPr>
              <w:jc w:val="center"/>
              <w:rPr>
                <w:rFonts w:eastAsia="STFangsong" w:cs="Times New Roman"/>
                <w:szCs w:val="22"/>
              </w:rPr>
            </w:pPr>
            <w:r w:rsidRPr="007A7D74">
              <w:rPr>
                <w:rFonts w:eastAsia="STFangsong" w:cs="Times New Roman"/>
                <w:szCs w:val="22"/>
              </w:rPr>
              <w:t>Regulators are open and transparent in their dealings with regulated entities</w:t>
            </w:r>
          </w:p>
        </w:tc>
        <w:tc>
          <w:tcPr>
            <w:tcW w:w="5670" w:type="dxa"/>
          </w:tcPr>
          <w:p w14:paraId="6BE123AD" w14:textId="4B9A60CA" w:rsidR="00F97618" w:rsidRDefault="00383FC2" w:rsidP="007902B9">
            <w:pPr>
              <w:pStyle w:val="ListParagraph"/>
              <w:numPr>
                <w:ilvl w:val="0"/>
                <w:numId w:val="10"/>
              </w:numPr>
              <w:jc w:val="left"/>
              <w:rPr>
                <w:rFonts w:eastAsia="Calibri"/>
              </w:rPr>
            </w:pPr>
            <w:r>
              <w:rPr>
                <w:rFonts w:eastAsia="Calibri"/>
              </w:rPr>
              <w:t>F</w:t>
            </w:r>
            <w:r w:rsidR="00F97618">
              <w:rPr>
                <w:rFonts w:eastAsia="Calibri"/>
              </w:rPr>
              <w:t>inalising a review of the ACNC’s Regulatory Approach to confirm that it remains up-to-date and fit for purpose</w:t>
            </w:r>
          </w:p>
          <w:p w14:paraId="37228ACD" w14:textId="7C7FF63A" w:rsidR="00F97618" w:rsidRPr="00F15D61" w:rsidRDefault="00383FC2" w:rsidP="007902B9">
            <w:pPr>
              <w:pStyle w:val="ListParagraph"/>
              <w:numPr>
                <w:ilvl w:val="0"/>
                <w:numId w:val="10"/>
              </w:numPr>
              <w:jc w:val="left"/>
              <w:rPr>
                <w:rFonts w:eastAsia="Calibri"/>
              </w:rPr>
            </w:pPr>
            <w:r>
              <w:rPr>
                <w:rFonts w:eastAsia="Calibri"/>
              </w:rPr>
              <w:t xml:space="preserve">Updating </w:t>
            </w:r>
            <w:r w:rsidR="00F97618">
              <w:rPr>
                <w:rFonts w:eastAsia="Calibri"/>
              </w:rPr>
              <w:t>our procedure on publishing datasets.</w:t>
            </w:r>
          </w:p>
        </w:tc>
      </w:tr>
      <w:tr w:rsidR="00F97618" w14:paraId="54BC2F46" w14:textId="77777777" w:rsidTr="007A7D74">
        <w:trPr>
          <w:trHeight w:val="1097"/>
        </w:trPr>
        <w:tc>
          <w:tcPr>
            <w:tcW w:w="567" w:type="dxa"/>
            <w:vAlign w:val="center"/>
          </w:tcPr>
          <w:p w14:paraId="2F2C4EAC" w14:textId="77777777" w:rsidR="00F97618" w:rsidRPr="007A7D74" w:rsidRDefault="00F97618" w:rsidP="007A7D74">
            <w:pPr>
              <w:jc w:val="center"/>
              <w:rPr>
                <w:rFonts w:eastAsia="STFangsong" w:cs="Times New Roman"/>
                <w:szCs w:val="22"/>
              </w:rPr>
            </w:pPr>
            <w:r>
              <w:rPr>
                <w:rFonts w:eastAsia="STFangsong" w:cs="Times New Roman"/>
                <w:szCs w:val="22"/>
              </w:rPr>
              <w:t>6</w:t>
            </w:r>
          </w:p>
        </w:tc>
        <w:tc>
          <w:tcPr>
            <w:tcW w:w="3118" w:type="dxa"/>
            <w:vAlign w:val="center"/>
          </w:tcPr>
          <w:p w14:paraId="51D2D74D" w14:textId="77777777" w:rsidR="00F97618" w:rsidRPr="007A7D74" w:rsidRDefault="00F97618" w:rsidP="007A7D74">
            <w:pPr>
              <w:jc w:val="center"/>
              <w:rPr>
                <w:rFonts w:eastAsia="STFangsong" w:cs="Times New Roman"/>
                <w:szCs w:val="22"/>
              </w:rPr>
            </w:pPr>
            <w:r w:rsidRPr="007A7D74">
              <w:rPr>
                <w:rFonts w:eastAsia="STFangsong" w:cs="Times New Roman"/>
                <w:szCs w:val="22"/>
              </w:rPr>
              <w:t>Regulators actively contribute to the continuous improvement of regulatory frameworks</w:t>
            </w:r>
          </w:p>
        </w:tc>
        <w:tc>
          <w:tcPr>
            <w:tcW w:w="5670" w:type="dxa"/>
          </w:tcPr>
          <w:p w14:paraId="209A955E" w14:textId="54160EE6" w:rsidR="00F97618" w:rsidRPr="00D37E3D" w:rsidRDefault="00383FC2" w:rsidP="007902B9">
            <w:pPr>
              <w:pStyle w:val="ListParagraph"/>
              <w:numPr>
                <w:ilvl w:val="0"/>
                <w:numId w:val="10"/>
              </w:numPr>
              <w:jc w:val="left"/>
              <w:rPr>
                <w:rFonts w:eastAsia="Calibri"/>
              </w:rPr>
            </w:pPr>
            <w:r>
              <w:rPr>
                <w:rFonts w:eastAsia="Calibri"/>
              </w:rPr>
              <w:t>C</w:t>
            </w:r>
            <w:r w:rsidR="00F97618">
              <w:rPr>
                <w:rFonts w:eastAsia="Calibri"/>
              </w:rPr>
              <w:t xml:space="preserve">ontinuing to </w:t>
            </w:r>
            <w:r w:rsidR="00F97618" w:rsidRPr="00AA5705">
              <w:rPr>
                <w:rFonts w:eastAsia="Calibri"/>
              </w:rPr>
              <w:t xml:space="preserve">work with </w:t>
            </w:r>
            <w:r w:rsidR="00F97618">
              <w:rPr>
                <w:rFonts w:eastAsia="Calibri"/>
              </w:rPr>
              <w:t xml:space="preserve">federal, </w:t>
            </w:r>
            <w:r w:rsidR="00F97618" w:rsidRPr="00AA5705">
              <w:rPr>
                <w:rFonts w:eastAsia="Calibri"/>
              </w:rPr>
              <w:t>state and territory regulators</w:t>
            </w:r>
            <w:r w:rsidR="00F97618">
              <w:rPr>
                <w:rFonts w:eastAsia="Calibri"/>
              </w:rPr>
              <w:t xml:space="preserve"> to eliminate</w:t>
            </w:r>
            <w:r w:rsidR="00F97618" w:rsidRPr="00AA5705">
              <w:rPr>
                <w:rFonts w:eastAsia="Calibri"/>
              </w:rPr>
              <w:t xml:space="preserve"> duplicated reporting</w:t>
            </w:r>
            <w:r w:rsidR="00F97618">
              <w:rPr>
                <w:rFonts w:eastAsia="Calibri"/>
              </w:rPr>
              <w:t xml:space="preserve">  </w:t>
            </w:r>
            <w:r w:rsidR="00F97618" w:rsidRPr="00AA5705">
              <w:rPr>
                <w:rFonts w:eastAsia="Calibri"/>
              </w:rPr>
              <w:t xml:space="preserve"> </w:t>
            </w:r>
          </w:p>
          <w:p w14:paraId="6560FC4E" w14:textId="614B7AE2" w:rsidR="00F97618" w:rsidRPr="00CC5160" w:rsidRDefault="00383FC2" w:rsidP="007902B9">
            <w:pPr>
              <w:pStyle w:val="ListParagraph"/>
              <w:numPr>
                <w:ilvl w:val="0"/>
                <w:numId w:val="10"/>
              </w:numPr>
              <w:jc w:val="left"/>
            </w:pPr>
            <w:r>
              <w:rPr>
                <w:rFonts w:eastAsia="Calibri"/>
              </w:rPr>
              <w:t>Continuing</w:t>
            </w:r>
            <w:r w:rsidRPr="00202D2D">
              <w:rPr>
                <w:rFonts w:eastAsia="Calibri"/>
              </w:rPr>
              <w:t xml:space="preserve"> </w:t>
            </w:r>
            <w:r w:rsidR="00F97618" w:rsidRPr="00202D2D">
              <w:rPr>
                <w:rFonts w:eastAsia="Calibri"/>
              </w:rPr>
              <w:t>to improve the provision of feedback to policy department</w:t>
            </w:r>
            <w:r w:rsidR="00F97618">
              <w:rPr>
                <w:rFonts w:eastAsia="Calibri"/>
              </w:rPr>
              <w:t>s</w:t>
            </w:r>
            <w:r w:rsidR="00F97618" w:rsidRPr="00CC5160">
              <w:t>.</w:t>
            </w:r>
          </w:p>
        </w:tc>
      </w:tr>
    </w:tbl>
    <w:p w14:paraId="526E82B2" w14:textId="77777777" w:rsidR="00D65DF6" w:rsidRPr="00351C35" w:rsidRDefault="00D65DF6" w:rsidP="00D65DF6">
      <w:pPr>
        <w:pStyle w:val="ListParagraph"/>
        <w:numPr>
          <w:ilvl w:val="0"/>
          <w:numId w:val="8"/>
        </w:numPr>
        <w:spacing w:before="120"/>
        <w:ind w:left="357" w:hanging="357"/>
        <w:contextualSpacing w:val="0"/>
      </w:pPr>
      <w:r>
        <w:t>Our e</w:t>
      </w:r>
      <w:r w:rsidRPr="00351C35">
        <w:t>xternal stakeholder g</w:t>
      </w:r>
      <w:r>
        <w:t>roups, the Professional User Group and Sector User Group, validated our self-assessments in August 2018</w:t>
      </w:r>
      <w:r w:rsidRPr="008711F3">
        <w:t>. This is further discussed in Appendix B.</w:t>
      </w:r>
      <w:r>
        <w:t xml:space="preserve"> </w:t>
      </w:r>
    </w:p>
    <w:p w14:paraId="7498C093" w14:textId="27B61C26" w:rsidR="00D65DF6" w:rsidRDefault="00D65DF6" w:rsidP="00D65DF6">
      <w:pPr>
        <w:pStyle w:val="ListParagraph"/>
        <w:numPr>
          <w:ilvl w:val="0"/>
          <w:numId w:val="8"/>
        </w:numPr>
        <w:ind w:left="357" w:hanging="357"/>
        <w:contextualSpacing w:val="0"/>
      </w:pPr>
      <w:r w:rsidRPr="001A51A4">
        <w:t xml:space="preserve">The ACNC will continue to build on our identified strengths and address areas for improvement, ensuring that there is effective regulation of the charity sector in </w:t>
      </w:r>
      <w:r w:rsidRPr="0049064F">
        <w:t xml:space="preserve">Australia. The ACNC sees the </w:t>
      </w:r>
      <w:r w:rsidR="003C747B">
        <w:t xml:space="preserve">recent </w:t>
      </w:r>
      <w:r w:rsidR="00383FC2">
        <w:t xml:space="preserve">5 year </w:t>
      </w:r>
      <w:r w:rsidRPr="0049064F">
        <w:t>review of the ACNC Act as one means to promote the effective regulation of charities.</w:t>
      </w:r>
      <w:r>
        <w:t xml:space="preserve"> </w:t>
      </w:r>
    </w:p>
    <w:p w14:paraId="2320C668" w14:textId="77777777" w:rsidR="002042B2" w:rsidRPr="00656B5F" w:rsidRDefault="002042B2" w:rsidP="00BC28FC"/>
    <w:p w14:paraId="3B685920" w14:textId="77777777" w:rsidR="00F15D61" w:rsidRDefault="00F15D61">
      <w:pPr>
        <w:spacing w:after="0"/>
        <w:rPr>
          <w:rFonts w:ascii="Arial" w:hAnsi="Arial" w:cs="Arial"/>
          <w:b/>
          <w:bCs/>
          <w:color w:val="96BC4D"/>
          <w:kern w:val="32"/>
          <w:sz w:val="32"/>
          <w:szCs w:val="32"/>
        </w:rPr>
      </w:pPr>
      <w:r>
        <w:rPr>
          <w:rFonts w:ascii="Arial" w:hAnsi="Arial"/>
        </w:rPr>
        <w:br w:type="page"/>
      </w:r>
    </w:p>
    <w:p w14:paraId="2D2FF632" w14:textId="77777777" w:rsidR="00BC6E81" w:rsidRPr="00DE4169" w:rsidRDefault="00DE4169" w:rsidP="00BC28FC">
      <w:pPr>
        <w:pStyle w:val="Heading1"/>
        <w:spacing w:before="0"/>
        <w:rPr>
          <w:rFonts w:ascii="Arial" w:hAnsi="Arial"/>
        </w:rPr>
      </w:pPr>
      <w:bookmarkStart w:id="7" w:name="_Toc521594128"/>
      <w:r w:rsidRPr="00DE4169">
        <w:rPr>
          <w:rFonts w:ascii="Arial" w:hAnsi="Arial"/>
        </w:rPr>
        <w:lastRenderedPageBreak/>
        <w:t>KPI Assessment</w:t>
      </w:r>
      <w:bookmarkEnd w:id="5"/>
      <w:bookmarkEnd w:id="7"/>
    </w:p>
    <w:p w14:paraId="2404A047" w14:textId="77777777" w:rsidR="00BC6E81" w:rsidRDefault="00BC6E81" w:rsidP="00BD6486">
      <w:pPr>
        <w:pStyle w:val="Heading2"/>
      </w:pPr>
      <w:bookmarkStart w:id="8" w:name="_Toc464053924"/>
      <w:bookmarkStart w:id="9" w:name="_Toc521594129"/>
      <w:r w:rsidRPr="00BC6E81">
        <w:t>KPI 1 – Regulators do not unnecessarily impede the efficient operation of regulated entities</w:t>
      </w:r>
      <w:bookmarkEnd w:id="8"/>
      <w:bookmarkEnd w:id="9"/>
    </w:p>
    <w:p w14:paraId="60857B8A"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1A </w:t>
      </w:r>
      <w:r w:rsidRPr="0026276B">
        <w:rPr>
          <w:rFonts w:cs="Calibri"/>
          <w:b/>
          <w:sz w:val="20"/>
          <w:szCs w:val="20"/>
          <w:lang w:eastAsia="en-AU"/>
        </w:rPr>
        <w:t>Regulators demonstrate an understanding of the operating environment of the industry or organisation, or the circumstances of individuals and the current and emerging issues that affect the sector.</w:t>
      </w:r>
    </w:p>
    <w:p w14:paraId="7BE13C5D"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1B R</w:t>
      </w:r>
      <w:r w:rsidRPr="0026276B">
        <w:rPr>
          <w:rFonts w:cs="Calibri"/>
          <w:b/>
          <w:sz w:val="20"/>
          <w:szCs w:val="20"/>
          <w:lang w:eastAsia="en-AU"/>
        </w:rPr>
        <w:t xml:space="preserve">egulators take actions to minimise the potential for unintended negative impacts of regulatory activities on regulated entities or affected supplier industries and supply chains. </w:t>
      </w:r>
    </w:p>
    <w:p w14:paraId="0AD5B6D2" w14:textId="77777777" w:rsidR="0026276B" w:rsidRPr="00557C1A" w:rsidRDefault="0026276B" w:rsidP="00557C1A">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1C </w:t>
      </w:r>
      <w:r w:rsidRPr="0026276B">
        <w:rPr>
          <w:rFonts w:cs="Calibri"/>
          <w:b/>
          <w:sz w:val="20"/>
          <w:szCs w:val="20"/>
          <w:lang w:eastAsia="en-AU"/>
        </w:rPr>
        <w:t>Regulators implement continuous improvement strategies to reduce the costs of compliance for those they regulate.</w:t>
      </w:r>
    </w:p>
    <w:p w14:paraId="43D353A8" w14:textId="77777777" w:rsidR="00FA6325" w:rsidRDefault="00FA6325" w:rsidP="00FE7123">
      <w:pPr>
        <w:pStyle w:val="Heading4"/>
        <w:spacing w:before="240"/>
        <w:rPr>
          <w:rFonts w:eastAsia="Calibri"/>
        </w:rPr>
      </w:pPr>
      <w:r>
        <w:rPr>
          <w:rFonts w:eastAsia="Calibri"/>
        </w:rPr>
        <w:t>U</w:t>
      </w:r>
      <w:r w:rsidRPr="00FA6325">
        <w:rPr>
          <w:rFonts w:eastAsia="Calibri"/>
        </w:rPr>
        <w:t xml:space="preserve">nderstanding of the sector and its operating environment </w:t>
      </w:r>
    </w:p>
    <w:p w14:paraId="1D3D24CE" w14:textId="77777777" w:rsidR="003D3143" w:rsidRPr="00084742" w:rsidRDefault="00CA7F7B" w:rsidP="00084742">
      <w:pPr>
        <w:pStyle w:val="ListParagraph"/>
        <w:numPr>
          <w:ilvl w:val="0"/>
          <w:numId w:val="8"/>
        </w:numPr>
        <w:spacing w:before="120"/>
        <w:ind w:left="357" w:hanging="357"/>
        <w:contextualSpacing w:val="0"/>
      </w:pPr>
      <w:r w:rsidRPr="00084742">
        <w:t>The foundation of the ACNC’s regulatory approach is a</w:t>
      </w:r>
      <w:r w:rsidR="00556091" w:rsidRPr="00084742">
        <w:t xml:space="preserve"> deep</w:t>
      </w:r>
      <w:r w:rsidRPr="00084742">
        <w:t xml:space="preserve"> understanding of charities and the broader not-for-profit sector.</w:t>
      </w:r>
      <w:r w:rsidR="002735F1" w:rsidRPr="00084742">
        <w:t xml:space="preserve"> </w:t>
      </w:r>
      <w:r w:rsidR="00FA6325" w:rsidRPr="00084742">
        <w:t xml:space="preserve">The ACNC develops and shares its knowledge of the sector through consultation, </w:t>
      </w:r>
      <w:r w:rsidR="008A623B" w:rsidRPr="00084742">
        <w:t xml:space="preserve">sector briefings, </w:t>
      </w:r>
      <w:r w:rsidR="00FA6325" w:rsidRPr="00084742">
        <w:t xml:space="preserve">analysis and publication of charity data. </w:t>
      </w:r>
    </w:p>
    <w:p w14:paraId="4DB9C555" w14:textId="77777777" w:rsidR="00CA7832" w:rsidRPr="00EB021D" w:rsidRDefault="00BA3FBC" w:rsidP="00BB2187">
      <w:pPr>
        <w:pStyle w:val="ListParagraph"/>
        <w:numPr>
          <w:ilvl w:val="0"/>
          <w:numId w:val="8"/>
        </w:numPr>
        <w:spacing w:before="120"/>
        <w:ind w:left="357" w:hanging="357"/>
        <w:contextualSpacing w:val="0"/>
      </w:pPr>
      <w:bookmarkStart w:id="10" w:name="_Ref520051818"/>
      <w:r w:rsidRPr="00EB021D">
        <w:t xml:space="preserve">The ACNC engages the Professional User Group </w:t>
      </w:r>
      <w:r w:rsidR="00751AA3" w:rsidRPr="00EB021D">
        <w:t xml:space="preserve">(PUG), </w:t>
      </w:r>
      <w:r w:rsidR="008A623B" w:rsidRPr="00EB021D">
        <w:t>the Sector User Group (</w:t>
      </w:r>
      <w:r w:rsidR="00751AA3" w:rsidRPr="00EB021D">
        <w:t xml:space="preserve">SUG), </w:t>
      </w:r>
      <w:r w:rsidR="002042B2" w:rsidRPr="00EB021D">
        <w:t xml:space="preserve">professional advisers, </w:t>
      </w:r>
      <w:r w:rsidR="008A623B" w:rsidRPr="00EB021D">
        <w:t>charities and peak bodies</w:t>
      </w:r>
      <w:r w:rsidR="004D3AFA" w:rsidRPr="00EB021D">
        <w:t xml:space="preserve"> </w:t>
      </w:r>
      <w:r w:rsidRPr="00EB021D">
        <w:t>on matters of procedure, guidance and our regulation of registered charities. In 201</w:t>
      </w:r>
      <w:r w:rsidR="005E7922" w:rsidRPr="00EB021D">
        <w:t>7</w:t>
      </w:r>
      <w:r w:rsidRPr="00EB021D">
        <w:t>–1</w:t>
      </w:r>
      <w:r w:rsidR="005E7922" w:rsidRPr="00EB021D">
        <w:t>8</w:t>
      </w:r>
      <w:r w:rsidRPr="00EB021D">
        <w:t xml:space="preserve">, we hosted </w:t>
      </w:r>
      <w:r w:rsidR="00802CF6" w:rsidRPr="00EB021D">
        <w:t>three</w:t>
      </w:r>
      <w:r w:rsidRPr="00EB021D">
        <w:t xml:space="preserve"> </w:t>
      </w:r>
      <w:r w:rsidR="00751AA3" w:rsidRPr="00EB021D">
        <w:t>PUG</w:t>
      </w:r>
      <w:r w:rsidRPr="00EB021D">
        <w:t xml:space="preserve"> and </w:t>
      </w:r>
      <w:r w:rsidR="00802CF6" w:rsidRPr="00EB021D">
        <w:t>three</w:t>
      </w:r>
      <w:r w:rsidRPr="00EB021D">
        <w:t xml:space="preserve"> </w:t>
      </w:r>
      <w:r w:rsidR="00751AA3" w:rsidRPr="00EB021D">
        <w:t>SUG</w:t>
      </w:r>
      <w:r w:rsidRPr="00EB021D">
        <w:t xml:space="preserve"> meetings.</w:t>
      </w:r>
      <w:bookmarkEnd w:id="10"/>
      <w:r w:rsidR="004D3AFA" w:rsidRPr="00EB021D">
        <w:t xml:space="preserve"> </w:t>
      </w:r>
    </w:p>
    <w:p w14:paraId="6AD42731" w14:textId="77777777" w:rsidR="00DC1825" w:rsidRPr="00EB021D" w:rsidRDefault="00DC1825" w:rsidP="00DC1825">
      <w:pPr>
        <w:pStyle w:val="ListParagraph"/>
        <w:numPr>
          <w:ilvl w:val="0"/>
          <w:numId w:val="8"/>
        </w:numPr>
        <w:spacing w:before="120"/>
        <w:contextualSpacing w:val="0"/>
      </w:pPr>
      <w:bookmarkStart w:id="11" w:name="_Ref520051822"/>
      <w:r w:rsidRPr="00EB021D">
        <w:t xml:space="preserve">Our Executive team completed over 60 speaking engagements in 2017-18, </w:t>
      </w:r>
      <w:r w:rsidR="002042B2" w:rsidRPr="00EB021D">
        <w:t>attending</w:t>
      </w:r>
      <w:r w:rsidRPr="00EB021D">
        <w:t xml:space="preserve"> conferences, roundtables and Annual General Meetings. We also participated in 279 stakeholder meetings with charities, sector representatives and peak bodies on a variety of topics important to the charity sector.</w:t>
      </w:r>
      <w:bookmarkEnd w:id="11"/>
    </w:p>
    <w:p w14:paraId="67F0706B" w14:textId="7392D694" w:rsidR="0049064F" w:rsidRPr="00084742" w:rsidRDefault="00E7386C" w:rsidP="002042B2">
      <w:pPr>
        <w:pStyle w:val="ListParagraph"/>
        <w:numPr>
          <w:ilvl w:val="0"/>
          <w:numId w:val="8"/>
        </w:numPr>
        <w:spacing w:before="120"/>
        <w:ind w:left="357" w:hanging="357"/>
        <w:contextualSpacing w:val="0"/>
      </w:pPr>
      <w:r>
        <w:t xml:space="preserve">In 2017-18, we continued </w:t>
      </w:r>
      <w:r w:rsidR="0049064F" w:rsidRPr="00084742">
        <w:t xml:space="preserve">to analyse the </w:t>
      </w:r>
      <w:r w:rsidR="00BF510A" w:rsidRPr="00084742">
        <w:t>information reported</w:t>
      </w:r>
      <w:r w:rsidR="0049064F" w:rsidRPr="00084742">
        <w:t xml:space="preserve"> by charities in Annual Information Statements</w:t>
      </w:r>
      <w:r w:rsidR="002C3820" w:rsidRPr="00084742">
        <w:t>, helping the ACNC and</w:t>
      </w:r>
      <w:r w:rsidR="007A7D74">
        <w:t xml:space="preserve"> the</w:t>
      </w:r>
      <w:r w:rsidR="002C3820" w:rsidRPr="00084742">
        <w:t xml:space="preserve"> public to understand the sector</w:t>
      </w:r>
      <w:r w:rsidR="0049064F" w:rsidRPr="00084742">
        <w:t>. T</w:t>
      </w:r>
      <w:r w:rsidR="00587DED" w:rsidRPr="00084742">
        <w:t xml:space="preserve">he </w:t>
      </w:r>
      <w:r w:rsidR="00587DED" w:rsidRPr="00EE6C02">
        <w:rPr>
          <w:i/>
        </w:rPr>
        <w:t>Australian Charities Report</w:t>
      </w:r>
      <w:r w:rsidR="002016EF">
        <w:rPr>
          <w:i/>
        </w:rPr>
        <w:t xml:space="preserve"> 2016</w:t>
      </w:r>
      <w:r w:rsidR="00587DED" w:rsidRPr="00084742">
        <w:t xml:space="preserve"> </w:t>
      </w:r>
      <w:r w:rsidR="001517B8" w:rsidRPr="00084742">
        <w:t xml:space="preserve">was </w:t>
      </w:r>
      <w:r w:rsidR="00587DED" w:rsidRPr="00084742">
        <w:t xml:space="preserve">published in </w:t>
      </w:r>
      <w:r w:rsidR="00BE1375" w:rsidRPr="00084742">
        <w:t xml:space="preserve">December </w:t>
      </w:r>
      <w:r w:rsidR="00587DED" w:rsidRPr="00084742">
        <w:t>201</w:t>
      </w:r>
      <w:r w:rsidR="0049064F" w:rsidRPr="00084742">
        <w:t>7</w:t>
      </w:r>
      <w:r w:rsidR="002016EF">
        <w:t>,</w:t>
      </w:r>
      <w:r w:rsidR="002C3820" w:rsidRPr="00084742">
        <w:t xml:space="preserve"> and provided </w:t>
      </w:r>
      <w:r w:rsidR="0049064F" w:rsidRPr="00084742">
        <w:t>a comprehensive analysis of</w:t>
      </w:r>
      <w:r w:rsidR="002C3820" w:rsidRPr="00084742">
        <w:t xml:space="preserve"> the finances, activities, beneficiaries and employment of Australia’s charity sector. </w:t>
      </w:r>
      <w:r w:rsidR="0049064F" w:rsidRPr="00084742">
        <w:t xml:space="preserve">We </w:t>
      </w:r>
      <w:r w:rsidR="002C3820" w:rsidRPr="00084742">
        <w:t xml:space="preserve">continued </w:t>
      </w:r>
      <w:r w:rsidR="0049064F" w:rsidRPr="00084742">
        <w:t xml:space="preserve">to present this information on an interactive website (at </w:t>
      </w:r>
      <w:hyperlink r:id="rId15" w:history="1">
        <w:r w:rsidR="0049064F" w:rsidRPr="003C4FAD">
          <w:rPr>
            <w:rStyle w:val="Hyperlink"/>
            <w:rFonts w:asciiTheme="minorHAnsi" w:eastAsiaTheme="minorEastAsia" w:hAnsiTheme="minorHAnsi" w:cstheme="minorBidi"/>
            <w:shd w:val="clear" w:color="auto" w:fill="FFFFFF"/>
          </w:rPr>
          <w:t>australiancharities.acnc.gov.au</w:t>
        </w:r>
      </w:hyperlink>
      <w:r w:rsidR="0049064F" w:rsidRPr="003C4FAD">
        <w:rPr>
          <w:rStyle w:val="Hyperlink"/>
          <w:rFonts w:asciiTheme="minorHAnsi" w:eastAsiaTheme="minorEastAsia" w:hAnsiTheme="minorHAnsi" w:cstheme="minorBidi"/>
          <w:color w:val="auto"/>
          <w:shd w:val="clear" w:color="auto" w:fill="FFFFFF"/>
        </w:rPr>
        <w:t>)</w:t>
      </w:r>
      <w:r w:rsidR="0049064F" w:rsidRPr="003C4FAD">
        <w:t xml:space="preserve">, allowing </w:t>
      </w:r>
      <w:r w:rsidR="0049064F" w:rsidRPr="00084742">
        <w:t>the public</w:t>
      </w:r>
      <w:r w:rsidR="005B6A7E">
        <w:t xml:space="preserve"> to</w:t>
      </w:r>
      <w:r w:rsidR="0049064F" w:rsidRPr="00084742">
        <w:t xml:space="preserve"> look at the sector from different </w:t>
      </w:r>
      <w:r w:rsidR="008A623B" w:rsidRPr="00084742">
        <w:t>angles</w:t>
      </w:r>
      <w:r w:rsidR="0049064F" w:rsidRPr="00084742">
        <w:t>.</w:t>
      </w:r>
      <w:r w:rsidR="008A623B" w:rsidRPr="00084742">
        <w:t xml:space="preserve"> </w:t>
      </w:r>
    </w:p>
    <w:p w14:paraId="0E15AF30" w14:textId="77777777" w:rsidR="0049064F" w:rsidRPr="00084742" w:rsidRDefault="0049064F" w:rsidP="00084742">
      <w:pPr>
        <w:pStyle w:val="ListParagraph"/>
        <w:numPr>
          <w:ilvl w:val="0"/>
          <w:numId w:val="8"/>
        </w:numPr>
        <w:spacing w:before="120"/>
        <w:ind w:left="357" w:hanging="357"/>
        <w:contextualSpacing w:val="0"/>
      </w:pPr>
      <w:r w:rsidRPr="00084742">
        <w:t xml:space="preserve">We also published two sub-reports based on data from 2016 Annual Information Statements: </w:t>
      </w:r>
    </w:p>
    <w:p w14:paraId="70EE70A4" w14:textId="77777777" w:rsidR="009D7A95" w:rsidRPr="009D7A95" w:rsidRDefault="002C3820" w:rsidP="009D7A95">
      <w:pPr>
        <w:pStyle w:val="ListParagraph"/>
        <w:numPr>
          <w:ilvl w:val="1"/>
          <w:numId w:val="8"/>
        </w:numPr>
        <w:spacing w:before="120"/>
        <w:contextualSpacing w:val="0"/>
      </w:pPr>
      <w:r w:rsidRPr="00251538">
        <w:rPr>
          <w:i/>
        </w:rPr>
        <w:t>Australia’s Grant-making Charities</w:t>
      </w:r>
      <w:r>
        <w:t xml:space="preserve">, </w:t>
      </w:r>
      <w:r w:rsidR="00251538" w:rsidRPr="00251538">
        <w:t xml:space="preserve">which </w:t>
      </w:r>
      <w:r w:rsidR="00251538">
        <w:t xml:space="preserve">provided an </w:t>
      </w:r>
      <w:r w:rsidR="00251538" w:rsidRPr="00251538">
        <w:t>insight into the diversity of the grant-making sector</w:t>
      </w:r>
      <w:r w:rsidR="009D7A95" w:rsidRPr="009D7A95">
        <w:rPr>
          <w:i/>
        </w:rPr>
        <w:t xml:space="preserve"> </w:t>
      </w:r>
    </w:p>
    <w:p w14:paraId="06644A3A" w14:textId="77777777" w:rsidR="0049064F" w:rsidRPr="00084742" w:rsidRDefault="009D7A95" w:rsidP="009D7A95">
      <w:pPr>
        <w:pStyle w:val="ListParagraph"/>
        <w:numPr>
          <w:ilvl w:val="1"/>
          <w:numId w:val="8"/>
        </w:numPr>
        <w:spacing w:before="120"/>
        <w:contextualSpacing w:val="0"/>
      </w:pPr>
      <w:r w:rsidRPr="00251538">
        <w:rPr>
          <w:i/>
        </w:rPr>
        <w:t>Growth and change in Australia’s charities: 2014 to 2016</w:t>
      </w:r>
      <w:r w:rsidRPr="00084742">
        <w:t xml:space="preserve">, which </w:t>
      </w:r>
      <w:r>
        <w:t xml:space="preserve">analysed the changes </w:t>
      </w:r>
      <w:r w:rsidRPr="00084742">
        <w:t xml:space="preserve">in Australia’s charity sector over </w:t>
      </w:r>
      <w:r>
        <w:t xml:space="preserve">the last </w:t>
      </w:r>
      <w:r w:rsidRPr="00084742">
        <w:t>three years</w:t>
      </w:r>
      <w:r>
        <w:t>.</w:t>
      </w:r>
    </w:p>
    <w:p w14:paraId="50805648" w14:textId="3E07B680" w:rsidR="00F76C32" w:rsidRPr="00F76C32" w:rsidRDefault="00F76C32" w:rsidP="00F76C32">
      <w:pPr>
        <w:pStyle w:val="ListParagraph"/>
        <w:numPr>
          <w:ilvl w:val="0"/>
          <w:numId w:val="8"/>
        </w:numPr>
        <w:spacing w:before="120"/>
        <w:ind w:left="357" w:hanging="357"/>
        <w:contextualSpacing w:val="0"/>
      </w:pPr>
      <w:r>
        <w:t>In</w:t>
      </w:r>
      <w:r w:rsidRPr="00F76C32">
        <w:t xml:space="preserve"> August 2017, the ACNC and AUSTRAC released a National Risk Assessment of Australia’s Not-for-profit sector. Th</w:t>
      </w:r>
      <w:r w:rsidR="002042B2">
        <w:t>is</w:t>
      </w:r>
      <w:r w:rsidR="007A7D74">
        <w:t xml:space="preserve"> assessment represented</w:t>
      </w:r>
      <w:r w:rsidRPr="00F76C32">
        <w:t xml:space="preserve"> the most comprehensive analysis of Australian Government</w:t>
      </w:r>
      <w:r w:rsidR="007A7D74">
        <w:t xml:space="preserve"> intelligence holdings and data</w:t>
      </w:r>
      <w:r w:rsidRPr="00F76C32">
        <w:t xml:space="preserve">sets </w:t>
      </w:r>
      <w:r w:rsidR="002042B2">
        <w:t>on</w:t>
      </w:r>
      <w:r w:rsidRPr="00F76C32">
        <w:t xml:space="preserve"> Australia’s not-for-profit sector and potential money laundering and terrorism financing risks. The report</w:t>
      </w:r>
      <w:hyperlink r:id="rId16" w:history="1">
        <w:r w:rsidRPr="00420245">
          <w:rPr>
            <w:rStyle w:val="Hyperlink"/>
            <w:color w:val="auto"/>
            <w:u w:val="none"/>
          </w:rPr>
          <w:t xml:space="preserve">, </w:t>
        </w:r>
        <w:r w:rsidRPr="00420245">
          <w:rPr>
            <w:rStyle w:val="Hyperlink"/>
            <w:i/>
          </w:rPr>
          <w:t>Australia’s Non</w:t>
        </w:r>
        <w:r w:rsidR="002016EF">
          <w:rPr>
            <w:rStyle w:val="Hyperlink"/>
            <w:i/>
          </w:rPr>
          <w:t>-</w:t>
        </w:r>
        <w:r w:rsidRPr="00420245">
          <w:rPr>
            <w:rStyle w:val="Hyperlink"/>
            <w:i/>
          </w:rPr>
          <w:t>profit Organisation Sector: Money laundering and terrorism financing risk assessment</w:t>
        </w:r>
      </w:hyperlink>
      <w:r w:rsidRPr="00F76C32">
        <w:t xml:space="preserve">, examined approximately 257,000 not-for-profit </w:t>
      </w:r>
      <w:r w:rsidR="00891424">
        <w:t xml:space="preserve">(NPO) </w:t>
      </w:r>
      <w:r w:rsidRPr="00F76C32">
        <w:t>organ</w:t>
      </w:r>
      <w:r>
        <w:t>isations</w:t>
      </w:r>
      <w:r w:rsidRPr="00F76C32">
        <w:t xml:space="preserve"> operating in Australia</w:t>
      </w:r>
      <w:r>
        <w:t>.</w:t>
      </w:r>
      <w:r w:rsidRPr="00F76C32">
        <w:t xml:space="preserve"> The risk assessment identified the main criminal, money laundering and terrorism financing threats facing Australia’s NPO sector. It highlighted key vulnerabilities that are exploited for criminal misuse, or </w:t>
      </w:r>
      <w:r w:rsidR="0016175E">
        <w:t xml:space="preserve">used </w:t>
      </w:r>
      <w:r w:rsidRPr="00F76C32">
        <w:t>to support or promote terrorism and its financing.</w:t>
      </w:r>
    </w:p>
    <w:p w14:paraId="667ADF5F" w14:textId="77777777" w:rsidR="002C3820" w:rsidRDefault="002C3820" w:rsidP="00084742">
      <w:pPr>
        <w:pStyle w:val="ListParagraph"/>
        <w:numPr>
          <w:ilvl w:val="0"/>
          <w:numId w:val="8"/>
        </w:numPr>
        <w:spacing w:before="120"/>
        <w:ind w:left="357" w:hanging="357"/>
        <w:contextualSpacing w:val="0"/>
      </w:pPr>
      <w:r w:rsidRPr="00084742">
        <w:t>I</w:t>
      </w:r>
      <w:r w:rsidR="00251538">
        <w:t>n</w:t>
      </w:r>
      <w:r w:rsidRPr="00084742">
        <w:t xml:space="preserve"> November 2017, we published the biennial </w:t>
      </w:r>
      <w:hyperlink r:id="rId17" w:history="1">
        <w:r w:rsidRPr="00420245">
          <w:rPr>
            <w:rStyle w:val="Hyperlink"/>
          </w:rPr>
          <w:t>Public Trust and Confidence report</w:t>
        </w:r>
      </w:hyperlink>
      <w:r w:rsidRPr="00084742">
        <w:t>, which provided a snapshot of public trust towards charities</w:t>
      </w:r>
      <w:r w:rsidR="008D5593">
        <w:t xml:space="preserve">. This report ranked charities as the fifth most trusted institution in </w:t>
      </w:r>
      <w:r w:rsidR="002042B2">
        <w:t>Australia</w:t>
      </w:r>
      <w:r w:rsidR="002016EF">
        <w:t>,</w:t>
      </w:r>
      <w:r w:rsidR="002042B2">
        <w:t xml:space="preserve"> and</w:t>
      </w:r>
      <w:r w:rsidR="008D5593">
        <w:t xml:space="preserve"> assisted the ACNC to analyse the operating environment of charities</w:t>
      </w:r>
      <w:r w:rsidR="00084742" w:rsidRPr="00084742">
        <w:t>.</w:t>
      </w:r>
    </w:p>
    <w:p w14:paraId="12D829D7" w14:textId="77777777" w:rsidR="008F568B" w:rsidRDefault="0098276C" w:rsidP="00420245">
      <w:pPr>
        <w:pStyle w:val="ListParagraph"/>
        <w:numPr>
          <w:ilvl w:val="0"/>
          <w:numId w:val="8"/>
        </w:numPr>
        <w:spacing w:before="120"/>
        <w:ind w:left="357" w:hanging="357"/>
        <w:contextualSpacing w:val="0"/>
        <w:jc w:val="left"/>
      </w:pPr>
      <w:r w:rsidRPr="0098276C">
        <w:t xml:space="preserve">In December 2017, the </w:t>
      </w:r>
      <w:r w:rsidR="007A7D74">
        <w:t>Australian</w:t>
      </w:r>
      <w:r>
        <w:t xml:space="preserve"> government released the</w:t>
      </w:r>
      <w:r w:rsidRPr="0098276C">
        <w:t xml:space="preserve"> </w:t>
      </w:r>
      <w:hyperlink r:id="rId18" w:history="1">
        <w:r w:rsidRPr="00420245">
          <w:rPr>
            <w:rStyle w:val="Hyperlink"/>
          </w:rPr>
          <w:t>terms of reference</w:t>
        </w:r>
      </w:hyperlink>
      <w:r w:rsidRPr="0098276C">
        <w:t xml:space="preserve"> for a</w:t>
      </w:r>
      <w:r w:rsidR="002042B2">
        <w:t xml:space="preserve"> </w:t>
      </w:r>
      <w:r w:rsidRPr="0098276C">
        <w:t xml:space="preserve">review of </w:t>
      </w:r>
      <w:r w:rsidR="002042B2">
        <w:t xml:space="preserve">the </w:t>
      </w:r>
      <w:r w:rsidRPr="0098276C">
        <w:t xml:space="preserve">ACNC legislation. </w:t>
      </w:r>
      <w:r w:rsidR="008F568B" w:rsidRPr="008F568B">
        <w:t xml:space="preserve">The ACNC provided a </w:t>
      </w:r>
      <w:hyperlink r:id="rId19" w:history="1">
        <w:r w:rsidR="008F568B" w:rsidRPr="00420245">
          <w:rPr>
            <w:rStyle w:val="Hyperlink"/>
          </w:rPr>
          <w:t>c</w:t>
        </w:r>
        <w:r w:rsidRPr="00420245">
          <w:rPr>
            <w:rStyle w:val="Hyperlink"/>
          </w:rPr>
          <w:t>omprehensive submission</w:t>
        </w:r>
      </w:hyperlink>
      <w:r>
        <w:t xml:space="preserve"> to the p</w:t>
      </w:r>
      <w:r w:rsidR="008F568B" w:rsidRPr="008F568B">
        <w:t>anel</w:t>
      </w:r>
      <w:r>
        <w:t xml:space="preserve"> reviewing the legislation</w:t>
      </w:r>
      <w:r w:rsidR="008F568B" w:rsidRPr="008F568B">
        <w:t xml:space="preserve">. The submission was informed by </w:t>
      </w:r>
      <w:r w:rsidR="002042B2">
        <w:t>our</w:t>
      </w:r>
      <w:r w:rsidR="008F568B" w:rsidRPr="008F568B">
        <w:t xml:space="preserve"> knowledge of the charity sector and experience of </w:t>
      </w:r>
      <w:r w:rsidR="007A7D74">
        <w:t>regulating the sector during our</w:t>
      </w:r>
      <w:r w:rsidR="008F568B" w:rsidRPr="008F568B">
        <w:t xml:space="preserve"> first five years of</w:t>
      </w:r>
      <w:r w:rsidR="002042B2">
        <w:t xml:space="preserve"> </w:t>
      </w:r>
      <w:r w:rsidR="008F568B" w:rsidRPr="008F568B">
        <w:t>operation.</w:t>
      </w:r>
      <w:r w:rsidR="008F320D">
        <w:t xml:space="preserve"> </w:t>
      </w:r>
      <w:r w:rsidR="008F568B" w:rsidRPr="008F568B">
        <w:t>The submission was made well bef</w:t>
      </w:r>
      <w:r w:rsidR="008F568B">
        <w:t xml:space="preserve">ore </w:t>
      </w:r>
      <w:r w:rsidR="008F568B">
        <w:lastRenderedPageBreak/>
        <w:t>the due date and published</w:t>
      </w:r>
      <w:r w:rsidR="008F320D">
        <w:t xml:space="preserve"> </w:t>
      </w:r>
      <w:r w:rsidR="008F568B" w:rsidRPr="008F568B">
        <w:t>on the ACNC’s website to</w:t>
      </w:r>
      <w:r w:rsidR="008F568B">
        <w:t xml:space="preserve"> ensure that the sector </w:t>
      </w:r>
      <w:r w:rsidR="00DE772E">
        <w:t xml:space="preserve">and interested stakeholders </w:t>
      </w:r>
      <w:r w:rsidR="008F568B">
        <w:t xml:space="preserve">had adequate time to consider our submission. </w:t>
      </w:r>
    </w:p>
    <w:p w14:paraId="09C9C6EB" w14:textId="77777777" w:rsidR="008113BB" w:rsidRPr="008113BB" w:rsidRDefault="00EB021D" w:rsidP="00EB021D">
      <w:pPr>
        <w:pStyle w:val="ListParagraph"/>
        <w:numPr>
          <w:ilvl w:val="0"/>
          <w:numId w:val="8"/>
        </w:numPr>
        <w:spacing w:before="120"/>
        <w:ind w:left="357" w:hanging="357"/>
        <w:contextualSpacing w:val="0"/>
      </w:pPr>
      <w:r w:rsidRPr="008113BB">
        <w:t>In 2017-18, we also published</w:t>
      </w:r>
      <w:r w:rsidR="008113BB" w:rsidRPr="008113BB">
        <w:t xml:space="preserve"> various submissions on matters that affect the charity sector</w:t>
      </w:r>
      <w:r w:rsidR="008113BB">
        <w:t>, such as</w:t>
      </w:r>
      <w:r w:rsidRPr="008113BB">
        <w:t>:</w:t>
      </w:r>
    </w:p>
    <w:p w14:paraId="1CE0E67C" w14:textId="77777777" w:rsidR="00EB021D" w:rsidRPr="008113BB" w:rsidRDefault="008113BB" w:rsidP="008113BB">
      <w:pPr>
        <w:pStyle w:val="ListParagraph"/>
        <w:numPr>
          <w:ilvl w:val="1"/>
          <w:numId w:val="8"/>
        </w:numPr>
        <w:spacing w:before="120"/>
        <w:contextualSpacing w:val="0"/>
      </w:pPr>
      <w:r w:rsidRPr="008113BB">
        <w:t>Treasury’s Consultation on tax deductible gift recipient reform opportunities</w:t>
      </w:r>
    </w:p>
    <w:p w14:paraId="7AF6F6F7" w14:textId="77777777" w:rsidR="008113BB" w:rsidRPr="008113BB" w:rsidRDefault="008113BB" w:rsidP="008113BB">
      <w:pPr>
        <w:pStyle w:val="ListParagraph"/>
        <w:numPr>
          <w:ilvl w:val="1"/>
          <w:numId w:val="8"/>
        </w:numPr>
        <w:spacing w:before="120"/>
        <w:contextualSpacing w:val="0"/>
      </w:pPr>
      <w:r>
        <w:t>t</w:t>
      </w:r>
      <w:r w:rsidRPr="008113BB">
        <w:t>he Joint Standing Committee on Electoral Matters on the Electoral Legislation Amendment (Electoral Fundin</w:t>
      </w:r>
      <w:r>
        <w:t>g and Disclosure Reform) Bill</w:t>
      </w:r>
    </w:p>
    <w:p w14:paraId="6F6D4C5A" w14:textId="77777777" w:rsidR="008113BB" w:rsidRPr="008113BB" w:rsidRDefault="008113BB" w:rsidP="008113BB">
      <w:pPr>
        <w:pStyle w:val="ListParagraph"/>
        <w:numPr>
          <w:ilvl w:val="1"/>
          <w:numId w:val="8"/>
        </w:numPr>
        <w:spacing w:before="120" w:after="0"/>
        <w:contextualSpacing w:val="0"/>
        <w:jc w:val="left"/>
      </w:pPr>
      <w:r>
        <w:t>t</w:t>
      </w:r>
      <w:r w:rsidRPr="008113BB">
        <w:t xml:space="preserve">he technical review into the </w:t>
      </w:r>
      <w:r w:rsidRPr="008113BB">
        <w:rPr>
          <w:i/>
        </w:rPr>
        <w:t>Corporations (Aboriginal and Torres Strait Islander) Act 2006</w:t>
      </w:r>
      <w:r w:rsidR="007A7D74">
        <w:rPr>
          <w:i/>
        </w:rPr>
        <w:t xml:space="preserve"> </w:t>
      </w:r>
      <w:r w:rsidR="007A7D74" w:rsidRPr="007A7D74">
        <w:t>that was</w:t>
      </w:r>
      <w:r w:rsidRPr="008113BB">
        <w:t xml:space="preserve"> being conducted by the Office of the Regist</w:t>
      </w:r>
      <w:r w:rsidR="007A7D74">
        <w:t>rar of Indigenous Corporations</w:t>
      </w:r>
      <w:r>
        <w:t>.</w:t>
      </w:r>
    </w:p>
    <w:p w14:paraId="4F1704D1" w14:textId="77777777" w:rsidR="00E07FF9" w:rsidRPr="00084742" w:rsidRDefault="008113BB" w:rsidP="008113BB">
      <w:pPr>
        <w:pStyle w:val="ListParagraph"/>
        <w:numPr>
          <w:ilvl w:val="0"/>
          <w:numId w:val="8"/>
        </w:numPr>
        <w:spacing w:before="120"/>
        <w:ind w:left="357" w:hanging="357"/>
        <w:contextualSpacing w:val="0"/>
      </w:pPr>
      <w:r>
        <w:t xml:space="preserve">We also remain committed to providing the public with access to the ACNC’s data. </w:t>
      </w:r>
      <w:r w:rsidR="00E07FF9">
        <w:t>In 2017-18, t</w:t>
      </w:r>
      <w:r w:rsidR="001517B8" w:rsidRPr="00084742">
        <w:t xml:space="preserve">he ACNC </w:t>
      </w:r>
      <w:r>
        <w:t>continued</w:t>
      </w:r>
      <w:r w:rsidR="002C3820" w:rsidRPr="00084742">
        <w:t xml:space="preserve"> to publish </w:t>
      </w:r>
      <w:r w:rsidR="001517B8" w:rsidRPr="00084742">
        <w:t>data we collect</w:t>
      </w:r>
      <w:r w:rsidR="002C3820" w:rsidRPr="00084742">
        <w:t xml:space="preserve"> on the </w:t>
      </w:r>
      <w:r w:rsidR="001517B8" w:rsidRPr="00084742">
        <w:t>Government’s official repository for open data, data.gov.au. The ACNC</w:t>
      </w:r>
      <w:r w:rsidR="00E07FF9">
        <w:t xml:space="preserve"> has now published</w:t>
      </w:r>
      <w:r>
        <w:t xml:space="preserve"> nine</w:t>
      </w:r>
      <w:r w:rsidR="00E07FF9">
        <w:t xml:space="preserve"> different datasets on </w:t>
      </w:r>
      <w:hyperlink r:id="rId20" w:history="1">
        <w:r w:rsidR="00E07FF9" w:rsidRPr="00AE14E2">
          <w:rPr>
            <w:rStyle w:val="Hyperlink"/>
          </w:rPr>
          <w:t>data.gov.au</w:t>
        </w:r>
      </w:hyperlink>
      <w:r w:rsidR="00E07FF9">
        <w:t>. The</w:t>
      </w:r>
      <w:r w:rsidR="001517B8" w:rsidRPr="00084742">
        <w:t xml:space="preserve"> Charity Register dataset is the</w:t>
      </w:r>
      <w:r w:rsidR="008D5593">
        <w:t xml:space="preserve"> seventh</w:t>
      </w:r>
      <w:r w:rsidR="001517B8" w:rsidRPr="00084742">
        <w:t xml:space="preserve"> most </w:t>
      </w:r>
      <w:r w:rsidR="008D5593">
        <w:t xml:space="preserve">used </w:t>
      </w:r>
      <w:r w:rsidR="001517B8" w:rsidRPr="00084742">
        <w:t xml:space="preserve">on the site. </w:t>
      </w:r>
    </w:p>
    <w:p w14:paraId="4120A3F6" w14:textId="77777777" w:rsidR="008A623B" w:rsidRPr="00FE7123" w:rsidRDefault="00171E19" w:rsidP="00FE7123">
      <w:pPr>
        <w:pStyle w:val="Heading4"/>
        <w:rPr>
          <w:rFonts w:eastAsia="Calibri"/>
        </w:rPr>
      </w:pPr>
      <w:r>
        <w:rPr>
          <w:rFonts w:eastAsia="Calibri"/>
        </w:rPr>
        <w:t>Minimising</w:t>
      </w:r>
      <w:r w:rsidR="00AF3C84">
        <w:rPr>
          <w:rFonts w:eastAsia="Calibri"/>
        </w:rPr>
        <w:t xml:space="preserve"> u</w:t>
      </w:r>
      <w:r w:rsidR="00E22F3D" w:rsidRPr="00FE7123">
        <w:rPr>
          <w:rFonts w:eastAsia="Calibri"/>
        </w:rPr>
        <w:t xml:space="preserve">nintended negative impacts of regulatory activities </w:t>
      </w:r>
      <w:r w:rsidR="00AF3C84">
        <w:rPr>
          <w:rFonts w:eastAsia="Calibri"/>
        </w:rPr>
        <w:t xml:space="preserve"> </w:t>
      </w:r>
    </w:p>
    <w:p w14:paraId="1C3EECA3" w14:textId="77777777" w:rsidR="0041170D" w:rsidRPr="00084742" w:rsidRDefault="0041170D" w:rsidP="008D5593">
      <w:pPr>
        <w:pStyle w:val="ListParagraph"/>
        <w:numPr>
          <w:ilvl w:val="0"/>
          <w:numId w:val="8"/>
        </w:numPr>
        <w:spacing w:before="120"/>
        <w:ind w:left="357" w:hanging="357"/>
        <w:contextualSpacing w:val="0"/>
      </w:pPr>
      <w:bookmarkStart w:id="12" w:name="_Ref520053911"/>
      <w:r w:rsidRPr="00084742">
        <w:t xml:space="preserve">The ACNC </w:t>
      </w:r>
      <w:r w:rsidR="00084742">
        <w:t xml:space="preserve">continues to use </w:t>
      </w:r>
      <w:r w:rsidRPr="00084742">
        <w:t>a risk-based approach to allocate its compliance resources to address concerns that present the greatest risk to trust and confidence in the sector.  Our proportionate approach to compliance provides charities a chance to address concerns whilst dealing with cases of serious misconduct quickly and firmly. This is consistent with the objects of the ACNC Act, which require the Commissioner to have regard to, among other things, the principles of regulatory necessity, reflecting risk, and proportionate regulation (section 15-10 of the ACNC Act).</w:t>
      </w:r>
      <w:bookmarkEnd w:id="12"/>
    </w:p>
    <w:p w14:paraId="3508DBA5" w14:textId="7C0FA788" w:rsidR="007D110C" w:rsidRPr="003F2C98" w:rsidRDefault="007D110C" w:rsidP="00165433">
      <w:pPr>
        <w:pStyle w:val="ListParagraph"/>
        <w:numPr>
          <w:ilvl w:val="0"/>
          <w:numId w:val="8"/>
        </w:numPr>
        <w:spacing w:before="120"/>
        <w:contextualSpacing w:val="0"/>
      </w:pPr>
      <w:r w:rsidRPr="003F2C98">
        <w:t xml:space="preserve">In March 2018, </w:t>
      </w:r>
      <w:r w:rsidR="00165433">
        <w:t>we</w:t>
      </w:r>
      <w:r w:rsidR="00054CC9" w:rsidRPr="003F2C98">
        <w:t xml:space="preserve"> published </w:t>
      </w:r>
      <w:r w:rsidR="00165433">
        <w:t xml:space="preserve">the </w:t>
      </w:r>
      <w:r w:rsidR="00165433" w:rsidRPr="00AE0C55">
        <w:rPr>
          <w:i/>
        </w:rPr>
        <w:t xml:space="preserve">Charity Compliance Report </w:t>
      </w:r>
      <w:r w:rsidR="00165433" w:rsidRPr="00165433">
        <w:t>2017</w:t>
      </w:r>
      <w:r w:rsidR="00165433">
        <w:t>. This</w:t>
      </w:r>
      <w:r w:rsidR="00054CC9" w:rsidRPr="003F2C98">
        <w:t xml:space="preserve"> report outl</w:t>
      </w:r>
      <w:r w:rsidR="00165433">
        <w:t xml:space="preserve">ined our </w:t>
      </w:r>
      <w:r w:rsidR="00054CC9" w:rsidRPr="003F2C98">
        <w:t>compliance outcomes</w:t>
      </w:r>
      <w:r w:rsidRPr="003F2C98">
        <w:t xml:space="preserve"> for the </w:t>
      </w:r>
      <w:r w:rsidR="003F2C98" w:rsidRPr="003F2C98">
        <w:t>2017 calendar year</w:t>
      </w:r>
      <w:r w:rsidR="005B5314">
        <w:t>,</w:t>
      </w:r>
      <w:r w:rsidR="00165433">
        <w:t xml:space="preserve"> and </w:t>
      </w:r>
      <w:r w:rsidR="00054CC9" w:rsidRPr="003F2C98">
        <w:t>can be found</w:t>
      </w:r>
      <w:r w:rsidR="006D6F4B">
        <w:t xml:space="preserve"> at</w:t>
      </w:r>
      <w:r w:rsidR="00054CC9" w:rsidRPr="003F2C98">
        <w:t xml:space="preserve"> </w:t>
      </w:r>
      <w:hyperlink r:id="rId21" w:history="1">
        <w:r w:rsidR="00054CC9" w:rsidRPr="00420245">
          <w:rPr>
            <w:rStyle w:val="Hyperlink"/>
            <w:rFonts w:asciiTheme="minorHAnsi" w:eastAsiaTheme="minorEastAsia" w:hAnsiTheme="minorHAnsi" w:cstheme="minorBidi"/>
            <w:shd w:val="clear" w:color="auto" w:fill="FFFFFF"/>
          </w:rPr>
          <w:t>acnc.gov.au/compliancereport</w:t>
        </w:r>
      </w:hyperlink>
      <w:r w:rsidR="00054CC9" w:rsidRPr="003F2C98">
        <w:t xml:space="preserve">. </w:t>
      </w:r>
      <w:r w:rsidRPr="003F2C98">
        <w:t>Th</w:t>
      </w:r>
      <w:r w:rsidR="0016175E">
        <w:t>e</w:t>
      </w:r>
      <w:r w:rsidR="003F2C98">
        <w:t xml:space="preserve"> report </w:t>
      </w:r>
      <w:r w:rsidR="0016175E">
        <w:t>also outlined</w:t>
      </w:r>
      <w:r w:rsidRPr="460B36E0">
        <w:t xml:space="preserve"> the nature of concerns identified and the </w:t>
      </w:r>
      <w:r w:rsidR="00165433">
        <w:t>c</w:t>
      </w:r>
      <w:r w:rsidRPr="460B36E0">
        <w:t xml:space="preserve">ompliance focus for </w:t>
      </w:r>
      <w:r w:rsidR="007F29DE">
        <w:t>201</w:t>
      </w:r>
      <w:r w:rsidR="005B5314">
        <w:t>8</w:t>
      </w:r>
      <w:r w:rsidRPr="460B36E0">
        <w:t>.</w:t>
      </w:r>
    </w:p>
    <w:p w14:paraId="2FDF05C9" w14:textId="77777777" w:rsidR="00130CB6" w:rsidRPr="007D110C" w:rsidRDefault="008D5593" w:rsidP="008D5593">
      <w:pPr>
        <w:pStyle w:val="ListParagraph"/>
        <w:numPr>
          <w:ilvl w:val="0"/>
          <w:numId w:val="8"/>
        </w:numPr>
        <w:spacing w:before="120"/>
        <w:ind w:left="357" w:hanging="357"/>
        <w:contextualSpacing w:val="0"/>
      </w:pPr>
      <w:bookmarkStart w:id="13" w:name="_Ref520055201"/>
      <w:r>
        <w:t>In the ACNC’s 2016-17 RPF</w:t>
      </w:r>
      <w:r w:rsidR="00165433">
        <w:t xml:space="preserve"> report</w:t>
      </w:r>
      <w:r>
        <w:t>, the ACNC committed to u</w:t>
      </w:r>
      <w:r w:rsidRPr="008D5593">
        <w:rPr>
          <w:rFonts w:eastAsia="Calibri"/>
        </w:rPr>
        <w:t xml:space="preserve">pdating compliance-related Operational Procedures and publishing </w:t>
      </w:r>
      <w:r w:rsidR="00E71D9C">
        <w:rPr>
          <w:rFonts w:eastAsia="Calibri"/>
        </w:rPr>
        <w:t>them on our website. In October 2017, t</w:t>
      </w:r>
      <w:r w:rsidR="005E7922">
        <w:t>hree compliance-related</w:t>
      </w:r>
      <w:r>
        <w:t xml:space="preserve"> </w:t>
      </w:r>
      <w:r w:rsidR="00420245">
        <w:t>O</w:t>
      </w:r>
      <w:r w:rsidR="0016175E">
        <w:t xml:space="preserve">perational </w:t>
      </w:r>
      <w:r w:rsidR="00420245">
        <w:t>P</w:t>
      </w:r>
      <w:r>
        <w:t>rocedures were updated</w:t>
      </w:r>
      <w:r w:rsidR="005E7922">
        <w:t xml:space="preserve"> </w:t>
      </w:r>
      <w:r w:rsidR="005E7922" w:rsidRPr="00165433">
        <w:t xml:space="preserve">– </w:t>
      </w:r>
      <w:hyperlink r:id="rId22" w:history="1">
        <w:r w:rsidR="005E7922" w:rsidRPr="00625E82">
          <w:rPr>
            <w:rStyle w:val="Hyperlink"/>
          </w:rPr>
          <w:t>Information gathering powers</w:t>
        </w:r>
      </w:hyperlink>
      <w:r w:rsidR="005E7922" w:rsidRPr="00165433">
        <w:t xml:space="preserve">, </w:t>
      </w:r>
      <w:hyperlink r:id="rId23" w:history="1">
        <w:r w:rsidR="005E7922" w:rsidRPr="00625E82">
          <w:rPr>
            <w:rStyle w:val="Hyperlink"/>
          </w:rPr>
          <w:t>Referrals and information exchange</w:t>
        </w:r>
      </w:hyperlink>
      <w:r w:rsidR="005E7922" w:rsidRPr="00165433">
        <w:t xml:space="preserve"> and </w:t>
      </w:r>
      <w:hyperlink r:id="rId24" w:history="1">
        <w:r w:rsidR="009D39CA" w:rsidRPr="00625E82">
          <w:rPr>
            <w:rStyle w:val="Hyperlink"/>
          </w:rPr>
          <w:t>M</w:t>
        </w:r>
        <w:r w:rsidR="005E7922" w:rsidRPr="00625E82">
          <w:rPr>
            <w:rStyle w:val="Hyperlink"/>
          </w:rPr>
          <w:t>onitoring powers</w:t>
        </w:r>
      </w:hyperlink>
      <w:r w:rsidRPr="00165433">
        <w:t xml:space="preserve">. </w:t>
      </w:r>
      <w:r>
        <w:t xml:space="preserve">The </w:t>
      </w:r>
      <w:hyperlink r:id="rId25" w:history="1">
        <w:r w:rsidR="00250070" w:rsidRPr="00625E82">
          <w:rPr>
            <w:rStyle w:val="Hyperlink"/>
            <w:szCs w:val="24"/>
          </w:rPr>
          <w:t>Commissioner’s Policy Statement: Compliance and enforcement</w:t>
        </w:r>
      </w:hyperlink>
      <w:r w:rsidR="00250070">
        <w:t xml:space="preserve"> </w:t>
      </w:r>
      <w:r>
        <w:t>was also updated</w:t>
      </w:r>
      <w:r w:rsidR="009D39CA">
        <w:t xml:space="preserve"> in October 2017.</w:t>
      </w:r>
      <w:r w:rsidR="005E7922">
        <w:t xml:space="preserve"> These documents</w:t>
      </w:r>
      <w:r w:rsidR="00E07FF9">
        <w:t xml:space="preserve"> were published on our website in November 2017</w:t>
      </w:r>
      <w:r w:rsidR="005E7922">
        <w:t>.</w:t>
      </w:r>
      <w:bookmarkEnd w:id="13"/>
    </w:p>
    <w:p w14:paraId="19EDB661" w14:textId="77777777" w:rsidR="00084742" w:rsidRPr="007D110C" w:rsidRDefault="009210A0" w:rsidP="007D110C">
      <w:pPr>
        <w:pStyle w:val="ListParagraph"/>
        <w:numPr>
          <w:ilvl w:val="0"/>
          <w:numId w:val="8"/>
        </w:numPr>
        <w:spacing w:before="120"/>
        <w:ind w:left="357" w:hanging="357"/>
        <w:contextualSpacing w:val="0"/>
      </w:pPr>
      <w:r w:rsidRPr="007D110C">
        <w:t>The ACNC</w:t>
      </w:r>
      <w:r w:rsidR="00763626">
        <w:t xml:space="preserve"> recognises that charities often report to a range of government agencies. We</w:t>
      </w:r>
      <w:r w:rsidRPr="007D110C">
        <w:t xml:space="preserve"> continue to work with Commonwealth, state and territory agencies to reduce the regulatory reporting burden</w:t>
      </w:r>
      <w:r w:rsidR="00763626">
        <w:t xml:space="preserve"> for charities</w:t>
      </w:r>
      <w:r w:rsidR="00E07FF9">
        <w:t xml:space="preserve"> (this was listed as an area of improvement in the 2016-17 RPF</w:t>
      </w:r>
      <w:r w:rsidR="00165433">
        <w:t xml:space="preserve"> report</w:t>
      </w:r>
      <w:r w:rsidR="00E07FF9">
        <w:t>)</w:t>
      </w:r>
      <w:r w:rsidR="00763626">
        <w:t xml:space="preserve">. While we have made good progress, we are </w:t>
      </w:r>
      <w:r w:rsidR="00403C98">
        <w:t>acutely</w:t>
      </w:r>
      <w:r w:rsidR="00763626">
        <w:t xml:space="preserve"> aware that there is still more to be done in this area.</w:t>
      </w:r>
    </w:p>
    <w:p w14:paraId="4F7A7038" w14:textId="77777777" w:rsidR="00763626" w:rsidRDefault="00763626" w:rsidP="004618C3">
      <w:pPr>
        <w:pStyle w:val="ListParagraph"/>
        <w:numPr>
          <w:ilvl w:val="0"/>
          <w:numId w:val="8"/>
        </w:numPr>
        <w:ind w:left="357" w:hanging="357"/>
        <w:contextualSpacing w:val="0"/>
      </w:pPr>
      <w:bookmarkStart w:id="14" w:name="_Ref520054436"/>
      <w:r>
        <w:t xml:space="preserve">The ACNC has implemented various streamlined reporting </w:t>
      </w:r>
      <w:r w:rsidR="00E6649C">
        <w:t>arrangements</w:t>
      </w:r>
      <w:r>
        <w:t xml:space="preserve"> with Commonwealth agencies</w:t>
      </w:r>
      <w:r w:rsidR="008D5593">
        <w:t xml:space="preserve"> to minimise the reporting burden of registered charities:</w:t>
      </w:r>
      <w:bookmarkEnd w:id="14"/>
    </w:p>
    <w:p w14:paraId="272FEB0A" w14:textId="77777777" w:rsidR="00763626" w:rsidRPr="008D5593" w:rsidRDefault="00763626" w:rsidP="00763626">
      <w:pPr>
        <w:pStyle w:val="ListParagraph"/>
        <w:numPr>
          <w:ilvl w:val="1"/>
          <w:numId w:val="8"/>
        </w:numPr>
      </w:pPr>
      <w:r>
        <w:t xml:space="preserve">Charities regulated </w:t>
      </w:r>
      <w:r w:rsidRPr="008D5593">
        <w:t xml:space="preserve">by the Office of the Registrar of Indigenous Corporations (ORIC) are not required to report separately to the ACNC; the ACNC obtains relevant reports from ORIC. </w:t>
      </w:r>
    </w:p>
    <w:p w14:paraId="7458982D" w14:textId="77777777" w:rsidR="00763626" w:rsidRPr="008D5593" w:rsidRDefault="00763626" w:rsidP="00763626">
      <w:pPr>
        <w:pStyle w:val="ListParagraph"/>
        <w:numPr>
          <w:ilvl w:val="1"/>
          <w:numId w:val="8"/>
        </w:numPr>
      </w:pPr>
      <w:r w:rsidRPr="008D5593">
        <w:t>Charities that</w:t>
      </w:r>
      <w:r w:rsidR="007A7D74">
        <w:t xml:space="preserve"> r</w:t>
      </w:r>
      <w:r w:rsidRPr="008D5593">
        <w:t xml:space="preserve">eport to the Commonwealth Department of Education and Training (DET) can take part in streamlined reporting arrangements, </w:t>
      </w:r>
      <w:r w:rsidR="008D5593" w:rsidRPr="008D5593">
        <w:t>with</w:t>
      </w:r>
      <w:r w:rsidR="00E07FF9">
        <w:t xml:space="preserve"> the</w:t>
      </w:r>
      <w:r w:rsidR="008D5593" w:rsidRPr="008D5593">
        <w:t xml:space="preserve"> DET collecting information on the ACNC’s behalf (further information is </w:t>
      </w:r>
      <w:r w:rsidR="008D5593" w:rsidRPr="009D7A95">
        <w:rPr>
          <w:rFonts w:asciiTheme="minorHAnsi" w:eastAsiaTheme="minorEastAsia" w:hAnsiTheme="minorHAnsi" w:cstheme="minorBidi"/>
        </w:rPr>
        <w:t xml:space="preserve">available at </w:t>
      </w:r>
      <w:hyperlink r:id="rId26" w:history="1">
        <w:r w:rsidR="008D5593" w:rsidRPr="009D7A95">
          <w:rPr>
            <w:rStyle w:val="Hyperlink"/>
            <w:rFonts w:asciiTheme="minorHAnsi" w:eastAsiaTheme="minorEastAsia" w:hAnsiTheme="minorHAnsi" w:cstheme="minorBidi"/>
            <w:shd w:val="clear" w:color="auto" w:fill="FFFFFF"/>
          </w:rPr>
          <w:t>www.acnc.gov.au/nongovschools</w:t>
        </w:r>
      </w:hyperlink>
      <w:r w:rsidR="008D5593" w:rsidRPr="009D7A95">
        <w:rPr>
          <w:rFonts w:asciiTheme="minorHAnsi" w:eastAsiaTheme="minorEastAsia" w:hAnsiTheme="minorHAnsi" w:cstheme="minorBidi"/>
          <w:color w:val="006621"/>
          <w:shd w:val="clear" w:color="auto" w:fill="FFFFFF"/>
        </w:rPr>
        <w:t>)</w:t>
      </w:r>
      <w:r w:rsidR="008D5593" w:rsidRPr="009D7A95">
        <w:rPr>
          <w:rFonts w:ascii="Arial" w:eastAsia="Arial" w:hAnsi="Arial" w:cs="Arial"/>
          <w:color w:val="006621"/>
          <w:shd w:val="clear" w:color="auto" w:fill="FFFFFF"/>
        </w:rPr>
        <w:t xml:space="preserve"> </w:t>
      </w:r>
    </w:p>
    <w:p w14:paraId="05D2E35F" w14:textId="77777777" w:rsidR="00763626" w:rsidRDefault="00E6649C" w:rsidP="00EB4483">
      <w:pPr>
        <w:pStyle w:val="ListParagraph"/>
        <w:numPr>
          <w:ilvl w:val="1"/>
          <w:numId w:val="8"/>
        </w:numPr>
        <w:ind w:left="1077" w:hanging="357"/>
        <w:contextualSpacing w:val="0"/>
      </w:pPr>
      <w:r>
        <w:t>Charitable</w:t>
      </w:r>
      <w:r w:rsidR="00763626">
        <w:t xml:space="preserve"> ancillary funds</w:t>
      </w:r>
      <w:r w:rsidR="00EB4483">
        <w:t xml:space="preserve"> that</w:t>
      </w:r>
      <w:r w:rsidR="007A7D74">
        <w:t xml:space="preserve"> also</w:t>
      </w:r>
      <w:r w:rsidR="00EB4483">
        <w:t xml:space="preserve"> report to the </w:t>
      </w:r>
      <w:r w:rsidR="00E07FF9">
        <w:t>Australian Taxation Office (</w:t>
      </w:r>
      <w:r w:rsidR="00EB4483">
        <w:t>ATO</w:t>
      </w:r>
      <w:r w:rsidR="00E07FF9">
        <w:t>)</w:t>
      </w:r>
      <w:r w:rsidR="00EB4483">
        <w:t xml:space="preserve"> now report directly to the ACNC - w</w:t>
      </w:r>
      <w:r>
        <w:t xml:space="preserve">e </w:t>
      </w:r>
      <w:r w:rsidR="00E07FF9">
        <w:t>provide relevant in</w:t>
      </w:r>
      <w:r>
        <w:t>formation to the A</w:t>
      </w:r>
      <w:r w:rsidR="00E07FF9">
        <w:t>TO</w:t>
      </w:r>
      <w:r w:rsidR="00763626">
        <w:t xml:space="preserve">. </w:t>
      </w:r>
    </w:p>
    <w:p w14:paraId="06697215" w14:textId="4A7FDE16" w:rsidR="003468BD" w:rsidRPr="007D110C" w:rsidRDefault="00E6649C" w:rsidP="00E6649C">
      <w:pPr>
        <w:pStyle w:val="ListParagraph"/>
        <w:numPr>
          <w:ilvl w:val="0"/>
          <w:numId w:val="8"/>
        </w:numPr>
      </w:pPr>
      <w:bookmarkStart w:id="15" w:name="_Ref520051723"/>
      <w:r>
        <w:t>The ACNC has also implemented streamlined reporting arrangements with various state and territory jurisdictions</w:t>
      </w:r>
      <w:r w:rsidR="00E07FF9">
        <w:t xml:space="preserve">, </w:t>
      </w:r>
      <w:r w:rsidR="00E7386C">
        <w:t>enabl</w:t>
      </w:r>
      <w:r w:rsidR="00E07FF9">
        <w:t>ing</w:t>
      </w:r>
      <w:r w:rsidR="00E7386C">
        <w:t xml:space="preserve"> </w:t>
      </w:r>
      <w:r w:rsidR="00EB4483">
        <w:t>charities to report directly to the ACNC</w:t>
      </w:r>
      <w:r>
        <w:t>. In</w:t>
      </w:r>
      <w:r w:rsidR="003468BD" w:rsidRPr="007D110C">
        <w:t xml:space="preserve"> 2017-18, </w:t>
      </w:r>
      <w:r w:rsidR="00E7386C">
        <w:t>we finalised a</w:t>
      </w:r>
      <w:r>
        <w:t xml:space="preserve"> streamlined arrangement for charities incorp</w:t>
      </w:r>
      <w:r w:rsidR="00EB4483">
        <w:t>orated in Victoria, benefiting over</w:t>
      </w:r>
      <w:r>
        <w:t xml:space="preserve"> 5,000 charities</w:t>
      </w:r>
      <w:r w:rsidR="003468BD" w:rsidRPr="007D110C">
        <w:t>.</w:t>
      </w:r>
      <w:r w:rsidR="00E7386C">
        <w:t xml:space="preserve"> There are now s</w:t>
      </w:r>
      <w:r w:rsidR="00130CB6" w:rsidRPr="007D110C">
        <w:t xml:space="preserve">treamlined reporting </w:t>
      </w:r>
      <w:r w:rsidR="006C5976">
        <w:t>agreements</w:t>
      </w:r>
      <w:r w:rsidR="006C5976" w:rsidRPr="007D110C">
        <w:t xml:space="preserve"> </w:t>
      </w:r>
      <w:r w:rsidR="00E7386C">
        <w:t xml:space="preserve">for charities in </w:t>
      </w:r>
      <w:r w:rsidR="00130CB6" w:rsidRPr="007D110C">
        <w:t>South Australia, Tasmania, the A</w:t>
      </w:r>
      <w:r w:rsidR="00037014">
        <w:t xml:space="preserve">ustralian </w:t>
      </w:r>
      <w:r w:rsidR="00130CB6" w:rsidRPr="007D110C">
        <w:t>C</w:t>
      </w:r>
      <w:r w:rsidR="00037014">
        <w:t xml:space="preserve">apital </w:t>
      </w:r>
      <w:r w:rsidR="00130CB6" w:rsidRPr="007D110C">
        <w:t>T</w:t>
      </w:r>
      <w:r w:rsidR="00037014">
        <w:t>erritory (ACT)</w:t>
      </w:r>
      <w:r w:rsidR="00130CB6" w:rsidRPr="007D110C">
        <w:t xml:space="preserve"> and Victoria.</w:t>
      </w:r>
      <w:r w:rsidR="00E07FF9">
        <w:t xml:space="preserve"> We expect to finalise more streamlined reporting </w:t>
      </w:r>
      <w:r w:rsidR="00D530FA">
        <w:t>arrangements</w:t>
      </w:r>
      <w:r w:rsidR="00873727">
        <w:t xml:space="preserve"> </w:t>
      </w:r>
      <w:r w:rsidR="00E07FF9">
        <w:t>in 201</w:t>
      </w:r>
      <w:r w:rsidR="00B9400D">
        <w:t>8</w:t>
      </w:r>
      <w:r w:rsidR="00E07FF9">
        <w:t>-1</w:t>
      </w:r>
      <w:r w:rsidR="00B9400D">
        <w:t>9</w:t>
      </w:r>
      <w:r w:rsidR="00E07FF9">
        <w:t>.</w:t>
      </w:r>
      <w:bookmarkEnd w:id="15"/>
    </w:p>
    <w:p w14:paraId="164A3672" w14:textId="77777777" w:rsidR="008A623B" w:rsidRPr="00FE7123" w:rsidRDefault="00BD6486" w:rsidP="00FE7123">
      <w:pPr>
        <w:pStyle w:val="Heading4"/>
        <w:rPr>
          <w:rFonts w:eastAsia="Calibri"/>
        </w:rPr>
      </w:pPr>
      <w:r w:rsidRPr="00FE7123">
        <w:rPr>
          <w:rFonts w:eastAsia="Calibri"/>
        </w:rPr>
        <w:lastRenderedPageBreak/>
        <w:t>C</w:t>
      </w:r>
      <w:r w:rsidR="00CD4FCD" w:rsidRPr="00FE7123">
        <w:rPr>
          <w:rFonts w:eastAsia="Calibri"/>
        </w:rPr>
        <w:t>ontinuous improvement strategies reduce the costs of compliance for the sector</w:t>
      </w:r>
    </w:p>
    <w:p w14:paraId="38176A56" w14:textId="77777777" w:rsidR="007D110C" w:rsidRPr="009D39CA" w:rsidRDefault="00CD4FCD" w:rsidP="007D110C">
      <w:pPr>
        <w:pStyle w:val="ListParagraph"/>
        <w:numPr>
          <w:ilvl w:val="0"/>
          <w:numId w:val="8"/>
        </w:numPr>
        <w:spacing w:before="120"/>
        <w:ind w:left="357" w:hanging="357"/>
        <w:contextualSpacing w:val="0"/>
      </w:pPr>
      <w:r w:rsidRPr="007D110C">
        <w:t xml:space="preserve">The ACNC consults frequently with the sector and facilitates feedback about key processes </w:t>
      </w:r>
      <w:r w:rsidR="00D37E3D" w:rsidRPr="007D110C">
        <w:t>to</w:t>
      </w:r>
      <w:r w:rsidRPr="007D110C">
        <w:t xml:space="preserve"> improve </w:t>
      </w:r>
      <w:r w:rsidRPr="009D39CA">
        <w:t xml:space="preserve">regulation and reduce compliance costs for the sector. </w:t>
      </w:r>
    </w:p>
    <w:p w14:paraId="7557448C" w14:textId="77777777" w:rsidR="00B9400D" w:rsidRDefault="009C23C2" w:rsidP="00667979">
      <w:pPr>
        <w:pStyle w:val="ListParagraph"/>
        <w:numPr>
          <w:ilvl w:val="0"/>
          <w:numId w:val="8"/>
        </w:numPr>
        <w:spacing w:before="120"/>
        <w:ind w:left="357" w:hanging="357"/>
        <w:contextualSpacing w:val="0"/>
      </w:pPr>
      <w:r w:rsidRPr="009D39CA">
        <w:t>In 201</w:t>
      </w:r>
      <w:r w:rsidR="00EB4483" w:rsidRPr="009D39CA">
        <w:t>7</w:t>
      </w:r>
      <w:r w:rsidRPr="009D39CA">
        <w:t>-1</w:t>
      </w:r>
      <w:r w:rsidR="00EB4483" w:rsidRPr="009D39CA">
        <w:t>8</w:t>
      </w:r>
      <w:r w:rsidRPr="009D39CA">
        <w:t>, we received</w:t>
      </w:r>
      <w:r w:rsidR="00EB4483" w:rsidRPr="009D39CA">
        <w:t xml:space="preserve"> 244 compliments about the ACNC</w:t>
      </w:r>
      <w:r w:rsidR="007848EB">
        <w:t xml:space="preserve">, the same as in 2016-17. </w:t>
      </w:r>
      <w:r w:rsidR="007848EB" w:rsidRPr="007848EB">
        <w:t>Over 85</w:t>
      </w:r>
      <w:r w:rsidR="007848EB">
        <w:t xml:space="preserve"> per cent of compliments</w:t>
      </w:r>
      <w:r w:rsidR="007848EB" w:rsidRPr="007848EB">
        <w:t xml:space="preserve"> relate</w:t>
      </w:r>
      <w:r w:rsidR="007848EB">
        <w:t>d</w:t>
      </w:r>
      <w:r w:rsidR="007848EB" w:rsidRPr="007848EB">
        <w:t xml:space="preserve"> to</w:t>
      </w:r>
      <w:r w:rsidR="007848EB">
        <w:t xml:space="preserve"> a</w:t>
      </w:r>
      <w:r w:rsidR="007848EB" w:rsidRPr="007848EB">
        <w:t xml:space="preserve"> positive customer service experience</w:t>
      </w:r>
      <w:r w:rsidR="007848EB">
        <w:t xml:space="preserve">. </w:t>
      </w:r>
      <w:r w:rsidR="00EB4483" w:rsidRPr="009D39CA">
        <w:t xml:space="preserve">The number of complaints about the ACNC increased to 1,202, a significant increase on the 182 complaints received in 2016-17. </w:t>
      </w:r>
      <w:r w:rsidR="007848EB">
        <w:t xml:space="preserve">Over 90 per cent of </w:t>
      </w:r>
      <w:r w:rsidR="00EB4483" w:rsidRPr="009D39CA">
        <w:t xml:space="preserve">complaints related to IT issues </w:t>
      </w:r>
      <w:r w:rsidR="009D39CA" w:rsidRPr="009D39CA">
        <w:t>which affected</w:t>
      </w:r>
      <w:r w:rsidR="00EB4483" w:rsidRPr="009D39CA">
        <w:t xml:space="preserve"> our website and </w:t>
      </w:r>
      <w:r w:rsidRPr="009D39CA">
        <w:t>Charity Portal.</w:t>
      </w:r>
      <w:r w:rsidR="00E7386C" w:rsidRPr="009D39CA">
        <w:t xml:space="preserve"> </w:t>
      </w:r>
    </w:p>
    <w:p w14:paraId="2FEDB0DC" w14:textId="5C95C25F" w:rsidR="009210A0" w:rsidRPr="009D39CA" w:rsidRDefault="009210A0" w:rsidP="00BB2187">
      <w:pPr>
        <w:pStyle w:val="ListParagraph"/>
        <w:numPr>
          <w:ilvl w:val="0"/>
          <w:numId w:val="8"/>
        </w:numPr>
        <w:spacing w:before="120"/>
        <w:ind w:left="357" w:hanging="357"/>
        <w:contextualSpacing w:val="0"/>
      </w:pPr>
      <w:r w:rsidRPr="009D39CA">
        <w:t>The ACNC received funding in the 201</w:t>
      </w:r>
      <w:r w:rsidR="00DD270A">
        <w:t>7</w:t>
      </w:r>
      <w:r w:rsidRPr="009D39CA">
        <w:t xml:space="preserve"> Federal Budget to </w:t>
      </w:r>
      <w:r w:rsidR="007D110C" w:rsidRPr="009D39CA">
        <w:t>replace our existing IT systems. This work has progressed rapidly, and charities will notice a</w:t>
      </w:r>
      <w:r w:rsidR="00EB4483" w:rsidRPr="009D39CA">
        <w:t xml:space="preserve"> significant</w:t>
      </w:r>
      <w:r w:rsidR="007D110C" w:rsidRPr="009D39CA">
        <w:t xml:space="preserve"> improvement </w:t>
      </w:r>
      <w:r w:rsidR="00BB248F">
        <w:t>after</w:t>
      </w:r>
      <w:r w:rsidR="00BB248F" w:rsidRPr="009D39CA">
        <w:t xml:space="preserve"> </w:t>
      </w:r>
      <w:r w:rsidR="007D110C" w:rsidRPr="009D39CA">
        <w:t xml:space="preserve">the ACNC’s </w:t>
      </w:r>
      <w:r w:rsidR="00BB248F">
        <w:t xml:space="preserve">new </w:t>
      </w:r>
      <w:r w:rsidR="007D110C" w:rsidRPr="009D39CA">
        <w:t>website</w:t>
      </w:r>
      <w:r w:rsidR="00B9400D">
        <w:t xml:space="preserve">, </w:t>
      </w:r>
      <w:r w:rsidR="00BB248F">
        <w:t>Charity Register</w:t>
      </w:r>
      <w:r w:rsidR="00BB248F" w:rsidRPr="009D39CA">
        <w:t xml:space="preserve"> </w:t>
      </w:r>
      <w:r w:rsidR="009D39CA" w:rsidRPr="009D39CA">
        <w:t>and Charity Portal</w:t>
      </w:r>
      <w:r w:rsidR="00BB248F">
        <w:t xml:space="preserve"> launch in September 2018</w:t>
      </w:r>
      <w:r w:rsidR="007D110C" w:rsidRPr="009D39CA">
        <w:t>.</w:t>
      </w:r>
    </w:p>
    <w:p w14:paraId="4CA6C774" w14:textId="784EA2EE" w:rsidR="00CB2CAB" w:rsidRPr="00E07FF9" w:rsidRDefault="00CB2CAB" w:rsidP="007D110C">
      <w:pPr>
        <w:pStyle w:val="ListParagraph"/>
        <w:numPr>
          <w:ilvl w:val="0"/>
          <w:numId w:val="8"/>
        </w:numPr>
        <w:spacing w:before="120"/>
        <w:ind w:left="357" w:hanging="357"/>
        <w:contextualSpacing w:val="0"/>
      </w:pPr>
      <w:r w:rsidRPr="009D39CA">
        <w:t>In 2016-17, an audit of the Registration function was undertaken by Deloitte. In 2017-18, the</w:t>
      </w:r>
      <w:r w:rsidRPr="00E07FF9">
        <w:t xml:space="preserve"> Registration </w:t>
      </w:r>
      <w:r w:rsidR="001344D7" w:rsidRPr="00E07FF9">
        <w:t>team</w:t>
      </w:r>
      <w:r w:rsidRPr="00E07FF9">
        <w:t xml:space="preserve"> </w:t>
      </w:r>
      <w:r w:rsidR="003F2C98" w:rsidRPr="00E07FF9">
        <w:t>s</w:t>
      </w:r>
      <w:r w:rsidRPr="00E07FF9">
        <w:t>treamlin</w:t>
      </w:r>
      <w:r w:rsidR="001344D7" w:rsidRPr="00E07FF9">
        <w:t xml:space="preserve">ed </w:t>
      </w:r>
      <w:r w:rsidR="007D110C" w:rsidRPr="00E07FF9">
        <w:t>internal work processes</w:t>
      </w:r>
      <w:r w:rsidR="003F2C98" w:rsidRPr="00E07FF9">
        <w:t xml:space="preserve">, </w:t>
      </w:r>
      <w:r w:rsidR="00E07FF9" w:rsidRPr="00E07FF9">
        <w:t>improving</w:t>
      </w:r>
      <w:r w:rsidR="003F2C98" w:rsidRPr="00E07FF9">
        <w:t xml:space="preserve"> the </w:t>
      </w:r>
      <w:r w:rsidR="00E07FF9" w:rsidRPr="00E07FF9">
        <w:t xml:space="preserve">registration </w:t>
      </w:r>
      <w:r w:rsidR="003F2C98" w:rsidRPr="00E07FF9">
        <w:t>experience for applicants</w:t>
      </w:r>
      <w:r w:rsidR="007D110C" w:rsidRPr="00E07FF9">
        <w:t xml:space="preserve">. </w:t>
      </w:r>
      <w:r w:rsidR="00537CD6">
        <w:t>Following feedback from various stakeholders (including PUG, SUG and charities), t</w:t>
      </w:r>
      <w:r w:rsidRPr="00E07FF9">
        <w:t>he ACNC is finalising the development of a new registration application form – th</w:t>
      </w:r>
      <w:r w:rsidR="009210A0" w:rsidRPr="00E07FF9">
        <w:t>is form will be</w:t>
      </w:r>
      <w:r w:rsidR="00EB4483" w:rsidRPr="00E07FF9">
        <w:t xml:space="preserve"> far</w:t>
      </w:r>
      <w:r w:rsidR="009210A0" w:rsidRPr="00E07FF9">
        <w:t xml:space="preserve"> more user-friendly and </w:t>
      </w:r>
      <w:r w:rsidRPr="00E07FF9">
        <w:t>will be customised based on an applicant’s circumstances.</w:t>
      </w:r>
      <w:r w:rsidR="005E7922" w:rsidRPr="00E07FF9">
        <w:t xml:space="preserve"> In 2018-19, the Registration team expect to implement further efficiencies</w:t>
      </w:r>
      <w:r w:rsidR="00E07FF9" w:rsidRPr="00E07FF9">
        <w:t xml:space="preserve"> which will further reduce the costs of compliance for the sector</w:t>
      </w:r>
      <w:r w:rsidR="005E7922" w:rsidRPr="00E07FF9">
        <w:t>.</w:t>
      </w:r>
    </w:p>
    <w:p w14:paraId="353E9DAF" w14:textId="77777777" w:rsidR="00D37E3D" w:rsidRPr="009D39CA" w:rsidRDefault="006E7EFD" w:rsidP="00BB2187">
      <w:pPr>
        <w:pStyle w:val="ListParagraph"/>
        <w:numPr>
          <w:ilvl w:val="0"/>
          <w:numId w:val="8"/>
        </w:numPr>
        <w:spacing w:before="120"/>
        <w:ind w:left="357" w:hanging="357"/>
        <w:contextualSpacing w:val="0"/>
      </w:pPr>
      <w:bookmarkStart w:id="16" w:name="_Ref520052108"/>
      <w:r w:rsidRPr="009D39CA">
        <w:t xml:space="preserve">The ACNC also uses surveys to improve our forms and processes. </w:t>
      </w:r>
      <w:r w:rsidR="00D37E3D" w:rsidRPr="009D39CA">
        <w:t>All registration applicants are sent an online customer experience survey</w:t>
      </w:r>
      <w:r w:rsidR="00E6649C" w:rsidRPr="009D39CA">
        <w:t xml:space="preserve"> and can provide feedback on </w:t>
      </w:r>
      <w:r w:rsidR="00D37E3D" w:rsidRPr="009D39CA">
        <w:t>the organisation’s experience with the registration process</w:t>
      </w:r>
      <w:r w:rsidR="00E6649C" w:rsidRPr="009D39CA">
        <w:t xml:space="preserve">, </w:t>
      </w:r>
      <w:r w:rsidR="00D37E3D" w:rsidRPr="009D39CA">
        <w:t>including the processing analyst’s level of helpfulness</w:t>
      </w:r>
      <w:r w:rsidR="00E7386C" w:rsidRPr="009D39CA">
        <w:t xml:space="preserve"> and</w:t>
      </w:r>
      <w:r w:rsidR="00D37E3D" w:rsidRPr="009D39CA">
        <w:t xml:space="preserve"> the overall quality of the registration process</w:t>
      </w:r>
      <w:r w:rsidR="00E7386C" w:rsidRPr="009D39CA">
        <w:t>. We use these results t</w:t>
      </w:r>
      <w:r w:rsidRPr="009D39CA">
        <w:t xml:space="preserve">o ensure we provide quality services to applicants – </w:t>
      </w:r>
      <w:r w:rsidR="00B9400D">
        <w:t xml:space="preserve">in 2017-18, </w:t>
      </w:r>
      <w:r w:rsidRPr="009D39CA">
        <w:t xml:space="preserve">94 </w:t>
      </w:r>
      <w:r w:rsidR="00E07FF9" w:rsidRPr="009D39CA">
        <w:t>per cent</w:t>
      </w:r>
      <w:r w:rsidRPr="009D39CA">
        <w:t xml:space="preserve"> of applicants expressed ov</w:t>
      </w:r>
      <w:r w:rsidR="00D37E3D" w:rsidRPr="009D39CA">
        <w:t xml:space="preserve">erall satisfaction </w:t>
      </w:r>
      <w:r w:rsidRPr="009D39CA">
        <w:t>with the quality of our service</w:t>
      </w:r>
      <w:bookmarkEnd w:id="16"/>
      <w:r w:rsidR="009D39CA" w:rsidRPr="009D39CA">
        <w:t xml:space="preserve"> (an identical result to 2016-17).</w:t>
      </w:r>
    </w:p>
    <w:p w14:paraId="3E3415AC" w14:textId="77777777" w:rsidR="006E7EFD" w:rsidRPr="009210A0" w:rsidRDefault="00E7386C" w:rsidP="009210A0">
      <w:pPr>
        <w:pStyle w:val="ListParagraph"/>
        <w:numPr>
          <w:ilvl w:val="0"/>
          <w:numId w:val="8"/>
        </w:numPr>
        <w:spacing w:before="120"/>
        <w:ind w:left="357" w:hanging="357"/>
        <w:contextualSpacing w:val="0"/>
      </w:pPr>
      <w:bookmarkStart w:id="17" w:name="_Ref520052111"/>
      <w:r w:rsidRPr="009D39CA">
        <w:t xml:space="preserve">The ACNC asks all charities to </w:t>
      </w:r>
      <w:r w:rsidR="00E07FF9" w:rsidRPr="009D39CA">
        <w:t xml:space="preserve">complete a survey to </w:t>
      </w:r>
      <w:r w:rsidRPr="009D39CA">
        <w:t xml:space="preserve">provide feedback on the Annual Information Statement. In 2017-18, </w:t>
      </w:r>
      <w:r w:rsidR="006E7EFD" w:rsidRPr="009D39CA">
        <w:t>900 charities provided feedback on the</w:t>
      </w:r>
      <w:r w:rsidR="00E07FF9" w:rsidRPr="009D39CA">
        <w:t xml:space="preserve"> 2017</w:t>
      </w:r>
      <w:r w:rsidR="006E7EFD" w:rsidRPr="009D39CA">
        <w:t xml:space="preserve"> Annual</w:t>
      </w:r>
      <w:r w:rsidR="006E7EFD" w:rsidRPr="009210A0">
        <w:t xml:space="preserve"> Information Statement. The ACNC has used this feedback</w:t>
      </w:r>
      <w:r w:rsidR="00EB4483">
        <w:t xml:space="preserve"> when dev</w:t>
      </w:r>
      <w:r w:rsidR="006E7EFD" w:rsidRPr="009210A0">
        <w:t>eloping the 2018 A</w:t>
      </w:r>
      <w:r w:rsidR="00EB4483">
        <w:t>nnual Information Statement</w:t>
      </w:r>
      <w:r>
        <w:t>, which will be simpler and easier to submit. This will make it easier for charities to meet their reporting obligations.</w:t>
      </w:r>
      <w:bookmarkEnd w:id="17"/>
      <w:r w:rsidR="006E7EFD" w:rsidRPr="009210A0">
        <w:t xml:space="preserve"> </w:t>
      </w:r>
    </w:p>
    <w:p w14:paraId="6F302BD1" w14:textId="77777777" w:rsidR="00AC4DE5" w:rsidRDefault="006E6E47" w:rsidP="006E6E47">
      <w:pPr>
        <w:spacing w:after="0"/>
        <w:rPr>
          <w:rFonts w:eastAsia="Calibri"/>
        </w:rPr>
      </w:pPr>
      <w:r>
        <w:rPr>
          <w:rFonts w:eastAsia="Calibri"/>
          <w:noProof/>
          <w:lang w:eastAsia="en-AU"/>
        </w:rPr>
        <mc:AlternateContent>
          <mc:Choice Requires="wps">
            <w:drawing>
              <wp:anchor distT="0" distB="0" distL="114300" distR="114300" simplePos="0" relativeHeight="251620864" behindDoc="0" locked="0" layoutInCell="1" allowOverlap="1" wp14:anchorId="3FE77369" wp14:editId="2D434CE0">
                <wp:simplePos x="0" y="0"/>
                <wp:positionH relativeFrom="column">
                  <wp:posOffset>-77470</wp:posOffset>
                </wp:positionH>
                <wp:positionV relativeFrom="paragraph">
                  <wp:posOffset>135256</wp:posOffset>
                </wp:positionV>
                <wp:extent cx="6172200" cy="1143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172200" cy="1143000"/>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BA29C" id="Rectangle 4" o:spid="_x0000_s1026" style="position:absolute;margin-left:-6.1pt;margin-top:10.65pt;width:486pt;height:90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" filled="f" strokecolor="#243f60 [1604]" strokeweight="1.25pt"/>
            </w:pict>
          </mc:Fallback>
        </mc:AlternateContent>
      </w:r>
    </w:p>
    <w:p w14:paraId="260DE3F1" w14:textId="77777777" w:rsidR="00CD4FCD" w:rsidRDefault="00CD4FCD" w:rsidP="0026276B">
      <w:pPr>
        <w:rPr>
          <w:rFonts w:eastAsia="Calibri"/>
        </w:rPr>
      </w:pPr>
      <w:r w:rsidRPr="002662BA">
        <w:rPr>
          <w:rFonts w:eastAsia="Calibri"/>
          <w:u w:val="single"/>
        </w:rPr>
        <w:t>Overall assessment:</w:t>
      </w:r>
      <w:r>
        <w:rPr>
          <w:rFonts w:eastAsia="Calibri"/>
        </w:rPr>
        <w:t xml:space="preserve"> </w:t>
      </w:r>
      <w:r w:rsidR="002D4878">
        <w:rPr>
          <w:rFonts w:eastAsia="Calibri"/>
          <w:b/>
        </w:rPr>
        <w:t xml:space="preserve"> </w:t>
      </w:r>
      <w:r w:rsidR="00CB592A" w:rsidRPr="00AE755E">
        <w:rPr>
          <w:rFonts w:asciiTheme="minorHAnsi" w:eastAsiaTheme="minorHAnsi" w:hAnsiTheme="minorHAnsi" w:cstheme="minorHAnsi"/>
          <w:b/>
          <w:szCs w:val="22"/>
          <w:lang w:val="en-GB"/>
        </w:rPr>
        <w:t>Very Good</w:t>
      </w:r>
    </w:p>
    <w:p w14:paraId="7DEE677E" w14:textId="77777777" w:rsidR="002662BA" w:rsidRDefault="004F251B" w:rsidP="0026276B">
      <w:pPr>
        <w:rPr>
          <w:rFonts w:eastAsia="Calibri"/>
        </w:rPr>
      </w:pPr>
      <w:r>
        <w:rPr>
          <w:rFonts w:eastAsia="Calibri"/>
          <w:u w:val="single"/>
        </w:rPr>
        <w:t>Key a</w:t>
      </w:r>
      <w:r w:rsidR="00D568ED" w:rsidRPr="002662BA">
        <w:rPr>
          <w:rFonts w:eastAsia="Calibri"/>
          <w:u w:val="single"/>
        </w:rPr>
        <w:t>reas for improvement:</w:t>
      </w:r>
      <w:r w:rsidR="00D568ED">
        <w:rPr>
          <w:rFonts w:eastAsia="Calibri"/>
        </w:rPr>
        <w:t xml:space="preserve"> </w:t>
      </w:r>
    </w:p>
    <w:p w14:paraId="3E054FE6" w14:textId="7BCD7E4B" w:rsidR="00D568ED" w:rsidRPr="00AA5705" w:rsidRDefault="00AF54D2" w:rsidP="00DD08A3">
      <w:pPr>
        <w:pStyle w:val="ListParagraph"/>
        <w:numPr>
          <w:ilvl w:val="0"/>
          <w:numId w:val="9"/>
        </w:numPr>
        <w:rPr>
          <w:rFonts w:eastAsia="Calibri"/>
        </w:rPr>
      </w:pPr>
      <w:r>
        <w:rPr>
          <w:rFonts w:eastAsia="Calibri"/>
        </w:rPr>
        <w:t>I</w:t>
      </w:r>
      <w:r w:rsidR="00130CB6">
        <w:rPr>
          <w:rFonts w:eastAsia="Calibri"/>
        </w:rPr>
        <w:t>mproving t</w:t>
      </w:r>
      <w:r w:rsidR="002662BA" w:rsidRPr="00AA5705">
        <w:rPr>
          <w:rFonts w:eastAsia="Calibri"/>
        </w:rPr>
        <w:t xml:space="preserve">he </w:t>
      </w:r>
      <w:r w:rsidR="006E7EFD">
        <w:rPr>
          <w:rFonts w:eastAsia="Calibri"/>
        </w:rPr>
        <w:t xml:space="preserve">accessibility and useability of the </w:t>
      </w:r>
      <w:r w:rsidR="002662BA" w:rsidRPr="00AA5705">
        <w:rPr>
          <w:rFonts w:eastAsia="Calibri"/>
        </w:rPr>
        <w:t>ACNC</w:t>
      </w:r>
      <w:r w:rsidR="00692C5D">
        <w:rPr>
          <w:rFonts w:eastAsia="Calibri"/>
        </w:rPr>
        <w:t xml:space="preserve">’s website, forms and the </w:t>
      </w:r>
      <w:r w:rsidR="00AF3C84">
        <w:rPr>
          <w:rFonts w:eastAsia="Calibri"/>
        </w:rPr>
        <w:t xml:space="preserve">Charity Portal </w:t>
      </w:r>
    </w:p>
    <w:p w14:paraId="6CD6FF99" w14:textId="1572EA93" w:rsidR="00A21E15" w:rsidRPr="00D37E3D" w:rsidRDefault="00AF54D2" w:rsidP="00DD08A3">
      <w:pPr>
        <w:pStyle w:val="ListParagraph"/>
        <w:numPr>
          <w:ilvl w:val="0"/>
          <w:numId w:val="9"/>
        </w:numPr>
        <w:rPr>
          <w:rFonts w:eastAsia="Calibri"/>
        </w:rPr>
      </w:pPr>
      <w:r>
        <w:rPr>
          <w:rFonts w:eastAsia="Calibri"/>
        </w:rPr>
        <w:t>C</w:t>
      </w:r>
      <w:r w:rsidR="00692C5D">
        <w:rPr>
          <w:rFonts w:eastAsia="Calibri"/>
        </w:rPr>
        <w:t xml:space="preserve">ontinuing to </w:t>
      </w:r>
      <w:r w:rsidR="00083694" w:rsidRPr="00AA5705">
        <w:rPr>
          <w:rFonts w:eastAsia="Calibri"/>
        </w:rPr>
        <w:t xml:space="preserve">work with </w:t>
      </w:r>
      <w:r w:rsidR="00C00010">
        <w:rPr>
          <w:rFonts w:eastAsia="Calibri"/>
        </w:rPr>
        <w:t xml:space="preserve">federal, </w:t>
      </w:r>
      <w:r w:rsidR="00083694" w:rsidRPr="00AA5705">
        <w:rPr>
          <w:rFonts w:eastAsia="Calibri"/>
        </w:rPr>
        <w:t>state and territory regulators</w:t>
      </w:r>
      <w:r w:rsidR="00083694">
        <w:rPr>
          <w:rFonts w:eastAsia="Calibri"/>
        </w:rPr>
        <w:t xml:space="preserve"> to eliminate</w:t>
      </w:r>
      <w:r w:rsidR="00083694" w:rsidRPr="00AA5705">
        <w:rPr>
          <w:rFonts w:eastAsia="Calibri"/>
        </w:rPr>
        <w:t xml:space="preserve"> </w:t>
      </w:r>
      <w:r w:rsidR="00072A8A" w:rsidRPr="00AA5705">
        <w:rPr>
          <w:rFonts w:eastAsia="Calibri"/>
        </w:rPr>
        <w:t>duplicated reporting</w:t>
      </w:r>
      <w:r w:rsidR="00083694">
        <w:rPr>
          <w:rFonts w:eastAsia="Calibri"/>
        </w:rPr>
        <w:t xml:space="preserve">.  </w:t>
      </w:r>
      <w:r w:rsidR="00072A8A" w:rsidRPr="00AA5705">
        <w:rPr>
          <w:rFonts w:eastAsia="Calibri"/>
        </w:rPr>
        <w:t xml:space="preserve"> </w:t>
      </w:r>
      <w:bookmarkStart w:id="18" w:name="_Toc464053925"/>
    </w:p>
    <w:p w14:paraId="0F1870A5" w14:textId="77777777" w:rsidR="00F76C32" w:rsidRDefault="00F76C32">
      <w:pPr>
        <w:spacing w:after="0"/>
        <w:rPr>
          <w:rFonts w:ascii="Arial Bold" w:hAnsi="Arial Bold"/>
          <w:b/>
          <w:bCs/>
          <w:iCs/>
          <w:color w:val="2C7890"/>
          <w:sz w:val="28"/>
          <w:szCs w:val="28"/>
          <w:lang w:eastAsia="en-AU"/>
        </w:rPr>
      </w:pPr>
      <w:r>
        <w:br w:type="page"/>
      </w:r>
    </w:p>
    <w:p w14:paraId="37A61853" w14:textId="77777777" w:rsidR="00BC6E81" w:rsidRPr="00DE4169" w:rsidRDefault="00BC6E81" w:rsidP="00BA3FBC">
      <w:pPr>
        <w:pStyle w:val="Heading2"/>
      </w:pPr>
      <w:bookmarkStart w:id="19" w:name="_Toc521594130"/>
      <w:r w:rsidRPr="00DE4169">
        <w:lastRenderedPageBreak/>
        <w:t>KPI 2 – Communication with regulated entities is clear, targeted and effective</w:t>
      </w:r>
      <w:bookmarkEnd w:id="18"/>
      <w:bookmarkEnd w:id="19"/>
    </w:p>
    <w:p w14:paraId="79FFEC55"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2A </w:t>
      </w:r>
      <w:r w:rsidRPr="0026276B">
        <w:rPr>
          <w:rFonts w:cs="Calibri"/>
          <w:b/>
          <w:sz w:val="20"/>
          <w:szCs w:val="20"/>
          <w:lang w:eastAsia="en-AU"/>
        </w:rPr>
        <w:t>Regulators provide guidance and information that is up to date, clear, accessible and concise through media appropriate to the target audience.</w:t>
      </w:r>
    </w:p>
    <w:p w14:paraId="6A1A8451"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2B </w:t>
      </w:r>
      <w:r w:rsidRPr="0026276B">
        <w:rPr>
          <w:rFonts w:cs="Calibri"/>
          <w:b/>
          <w:sz w:val="20"/>
          <w:szCs w:val="20"/>
          <w:lang w:eastAsia="en-AU"/>
        </w:rPr>
        <w:t>Regulators consider the impact on regulated entities and engage with industry groups and representatives of the affected stakeholders before changing policies, practices or service standards.</w:t>
      </w:r>
    </w:p>
    <w:p w14:paraId="165318FB"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2C </w:t>
      </w:r>
      <w:r w:rsidRPr="0026276B">
        <w:rPr>
          <w:rFonts w:cs="Calibri"/>
          <w:b/>
          <w:sz w:val="20"/>
          <w:szCs w:val="20"/>
          <w:lang w:eastAsia="en-AU"/>
        </w:rPr>
        <w:t>Regulators’ decisions and advice are provided in a timely manner, clearly articulating expectations and the underlying reasons for decisions.</w:t>
      </w:r>
    </w:p>
    <w:p w14:paraId="0CF20AD6" w14:textId="77777777" w:rsid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2D </w:t>
      </w:r>
      <w:r w:rsidRPr="0026276B">
        <w:rPr>
          <w:rFonts w:cs="Calibri"/>
          <w:b/>
          <w:sz w:val="20"/>
          <w:szCs w:val="20"/>
          <w:lang w:eastAsia="en-AU"/>
        </w:rPr>
        <w:t>Regulators’ advice is consistent and supports predictable outcomes.</w:t>
      </w:r>
    </w:p>
    <w:p w14:paraId="3C966951" w14:textId="77777777" w:rsidR="00F94A28" w:rsidRPr="00FE7123" w:rsidRDefault="00BD6486" w:rsidP="00FE7123">
      <w:pPr>
        <w:pStyle w:val="Heading4"/>
        <w:spacing w:before="240"/>
        <w:rPr>
          <w:rFonts w:eastAsia="Calibri"/>
        </w:rPr>
      </w:pPr>
      <w:r w:rsidRPr="00FE7123">
        <w:rPr>
          <w:rFonts w:eastAsia="Calibri"/>
        </w:rPr>
        <w:t>G</w:t>
      </w:r>
      <w:r w:rsidR="00F94A28" w:rsidRPr="00FE7123">
        <w:rPr>
          <w:rFonts w:eastAsia="Calibri"/>
        </w:rPr>
        <w:t>uidance and information</w:t>
      </w:r>
    </w:p>
    <w:p w14:paraId="71531D64" w14:textId="77777777" w:rsidR="00E6649C" w:rsidRDefault="00692C5D" w:rsidP="00E6649C">
      <w:pPr>
        <w:pStyle w:val="ListParagraph"/>
        <w:numPr>
          <w:ilvl w:val="0"/>
          <w:numId w:val="8"/>
        </w:numPr>
        <w:spacing w:before="120"/>
        <w:ind w:left="357" w:hanging="357"/>
        <w:contextualSpacing w:val="0"/>
      </w:pPr>
      <w:bookmarkStart w:id="20" w:name="_Ref520056101"/>
      <w:r>
        <w:t>The ACNC continues to refine and improve the way that we deliver information</w:t>
      </w:r>
      <w:r w:rsidR="00AB3E3F">
        <w:t xml:space="preserve">. This will </w:t>
      </w:r>
      <w:r w:rsidR="00E31D91">
        <w:t xml:space="preserve">assist charities </w:t>
      </w:r>
      <w:r w:rsidR="00AB3E3F">
        <w:t xml:space="preserve">in </w:t>
      </w:r>
      <w:r w:rsidR="00E31D91">
        <w:t>understand</w:t>
      </w:r>
      <w:r w:rsidR="00AB3E3F">
        <w:t>ing</w:t>
      </w:r>
      <w:r w:rsidR="00E31D91">
        <w:t xml:space="preserve"> and fulfil</w:t>
      </w:r>
      <w:r w:rsidR="00AB3E3F">
        <w:t>ling</w:t>
      </w:r>
      <w:r w:rsidR="00E31D91">
        <w:t xml:space="preserve"> their regulatory obligations.</w:t>
      </w:r>
      <w:bookmarkEnd w:id="20"/>
      <w:r w:rsidR="00E31D91">
        <w:t xml:space="preserve"> </w:t>
      </w:r>
    </w:p>
    <w:p w14:paraId="1C9B84C9" w14:textId="77777777" w:rsidR="00E6649C" w:rsidRDefault="00692C5D" w:rsidP="00E6649C">
      <w:pPr>
        <w:pStyle w:val="ListParagraph"/>
        <w:numPr>
          <w:ilvl w:val="0"/>
          <w:numId w:val="8"/>
        </w:numPr>
        <w:spacing w:before="120"/>
        <w:ind w:left="357" w:hanging="357"/>
        <w:contextualSpacing w:val="0"/>
      </w:pPr>
      <w:r>
        <w:t xml:space="preserve">Apart from </w:t>
      </w:r>
      <w:r w:rsidR="00CB592A">
        <w:t>responding to queries directly</w:t>
      </w:r>
      <w:r w:rsidR="006E7EFD">
        <w:t xml:space="preserve"> and providing verbal and written guidance</w:t>
      </w:r>
      <w:r w:rsidR="00F23F73">
        <w:t>,</w:t>
      </w:r>
      <w:r w:rsidR="00E31D91">
        <w:t xml:space="preserve"> we </w:t>
      </w:r>
      <w:r>
        <w:t>continued</w:t>
      </w:r>
      <w:r w:rsidR="00E6649C">
        <w:t xml:space="preserve"> to</w:t>
      </w:r>
      <w:r w:rsidR="00E6649C" w:rsidRPr="00E6649C">
        <w:t xml:space="preserve"> offer charities a wide range of education materials including webinars, podcasts, videos, factsheets and guides, along with providing tips and advice on our social media channels and in our two newsletters, ACNC Quarterly and the Commissioner’s Column.</w:t>
      </w:r>
    </w:p>
    <w:p w14:paraId="1541C573" w14:textId="77777777" w:rsidR="00E6649C" w:rsidRDefault="00130CB6" w:rsidP="00E6649C">
      <w:pPr>
        <w:pStyle w:val="ListParagraph"/>
        <w:numPr>
          <w:ilvl w:val="0"/>
          <w:numId w:val="8"/>
        </w:numPr>
        <w:spacing w:before="120"/>
        <w:ind w:left="357" w:hanging="357"/>
        <w:contextualSpacing w:val="0"/>
      </w:pPr>
      <w:r>
        <w:t xml:space="preserve">In 2017-18, </w:t>
      </w:r>
      <w:r w:rsidR="0010042E">
        <w:t>the ACNC</w:t>
      </w:r>
      <w:r w:rsidR="00E6649C">
        <w:t xml:space="preserve"> hosted 15 webinars and published 13 podcast</w:t>
      </w:r>
      <w:r w:rsidR="008E7AEE">
        <w:t>s</w:t>
      </w:r>
      <w:r w:rsidR="00E6649C">
        <w:t>.</w:t>
      </w:r>
      <w:r w:rsidR="008E7AEE">
        <w:t xml:space="preserve"> </w:t>
      </w:r>
      <w:r w:rsidR="00E6649C">
        <w:t xml:space="preserve"> Three new guides were added to </w:t>
      </w:r>
      <w:r w:rsidR="00E71D9C">
        <w:t>our</w:t>
      </w:r>
      <w:r w:rsidR="00E6649C">
        <w:t xml:space="preserve"> website</w:t>
      </w:r>
      <w:r w:rsidR="008E7AEE">
        <w:t>, providing guidance on:</w:t>
      </w:r>
    </w:p>
    <w:p w14:paraId="1740899F" w14:textId="77777777" w:rsidR="008E7AEE" w:rsidRPr="0063479F" w:rsidRDefault="00927E5C" w:rsidP="00114AC9">
      <w:pPr>
        <w:pStyle w:val="ListParagraph"/>
        <w:numPr>
          <w:ilvl w:val="0"/>
          <w:numId w:val="13"/>
        </w:numPr>
        <w:spacing w:before="120"/>
        <w:rPr>
          <w:i/>
        </w:rPr>
      </w:pPr>
      <w:hyperlink r:id="rId27" w:history="1">
        <w:r w:rsidR="008E7AEE" w:rsidRPr="00972E4C">
          <w:rPr>
            <w:rStyle w:val="Hyperlink"/>
            <w:i/>
          </w:rPr>
          <w:t>Remunerating charity board members</w:t>
        </w:r>
      </w:hyperlink>
      <w:r w:rsidR="008E7AEE" w:rsidRPr="00C62E32">
        <w:rPr>
          <w:i/>
        </w:rPr>
        <w:t xml:space="preserve"> </w:t>
      </w:r>
    </w:p>
    <w:p w14:paraId="21EC5F1F" w14:textId="77777777" w:rsidR="008E7AEE" w:rsidRPr="0063479F" w:rsidRDefault="00927E5C" w:rsidP="00114AC9">
      <w:pPr>
        <w:pStyle w:val="ListParagraph"/>
        <w:numPr>
          <w:ilvl w:val="0"/>
          <w:numId w:val="13"/>
        </w:numPr>
        <w:spacing w:before="120"/>
        <w:rPr>
          <w:i/>
        </w:rPr>
      </w:pPr>
      <w:hyperlink r:id="rId28" w:history="1">
        <w:r w:rsidR="008E7AEE" w:rsidRPr="00972E4C">
          <w:rPr>
            <w:rStyle w:val="Hyperlink"/>
            <w:i/>
          </w:rPr>
          <w:t>Charities operating overseas</w:t>
        </w:r>
      </w:hyperlink>
      <w:r w:rsidR="008E7AEE" w:rsidRPr="00C62E32">
        <w:rPr>
          <w:i/>
        </w:rPr>
        <w:t xml:space="preserve"> </w:t>
      </w:r>
    </w:p>
    <w:p w14:paraId="0409F13F" w14:textId="749DCF75" w:rsidR="008E7AEE" w:rsidRDefault="00927E5C" w:rsidP="00114AC9">
      <w:pPr>
        <w:pStyle w:val="ListParagraph"/>
        <w:numPr>
          <w:ilvl w:val="0"/>
          <w:numId w:val="13"/>
        </w:numPr>
        <w:spacing w:before="120"/>
        <w:ind w:left="1071" w:hanging="357"/>
        <w:contextualSpacing w:val="0"/>
      </w:pPr>
      <w:hyperlink r:id="rId29" w:history="1">
        <w:r w:rsidR="008E7AEE" w:rsidRPr="00972E4C">
          <w:rPr>
            <w:rStyle w:val="Hyperlink"/>
            <w:i/>
          </w:rPr>
          <w:t>Charities and Corporate Partnerships</w:t>
        </w:r>
      </w:hyperlink>
    </w:p>
    <w:p w14:paraId="0C78AE38" w14:textId="77777777" w:rsidR="00912C5B" w:rsidRDefault="00912C5B" w:rsidP="00912C5B">
      <w:pPr>
        <w:spacing w:before="120"/>
        <w:ind w:left="357"/>
      </w:pPr>
      <w:r w:rsidRPr="00F76C32">
        <w:t xml:space="preserve">We also updated our flagship guide: </w:t>
      </w:r>
      <w:hyperlink r:id="rId30" w:history="1">
        <w:r w:rsidRPr="00972E4C">
          <w:rPr>
            <w:rStyle w:val="Hyperlink"/>
            <w:i/>
          </w:rPr>
          <w:t>Governance for good - The ACNC’s guide for charity board members</w:t>
        </w:r>
      </w:hyperlink>
      <w:r w:rsidRPr="00F76C32">
        <w:rPr>
          <w:bCs/>
          <w:iCs/>
        </w:rPr>
        <w:t>.</w:t>
      </w:r>
    </w:p>
    <w:p w14:paraId="0CC053E4" w14:textId="77777777" w:rsidR="008E7AEE" w:rsidRDefault="008E7AEE" w:rsidP="008E7AEE">
      <w:pPr>
        <w:pStyle w:val="ListParagraph"/>
        <w:numPr>
          <w:ilvl w:val="0"/>
          <w:numId w:val="8"/>
        </w:numPr>
        <w:spacing w:before="120"/>
        <w:ind w:left="357" w:hanging="357"/>
        <w:contextualSpacing w:val="0"/>
      </w:pPr>
      <w:r>
        <w:t xml:space="preserve">The ACNC continued to work with other regulators on issues that affect charities. </w:t>
      </w:r>
      <w:r w:rsidR="00AB3E3F">
        <w:t>For example, t</w:t>
      </w:r>
      <w:r>
        <w:t xml:space="preserve">he ACNC worked closely with Consumer Affairs Victoria to ensure that charities were aware of </w:t>
      </w:r>
      <w:r w:rsidR="00AB3E3F">
        <w:t>the new</w:t>
      </w:r>
      <w:r>
        <w:t xml:space="preserve"> streamlined reporting arrangement</w:t>
      </w:r>
      <w:r w:rsidR="00BA62DB">
        <w:t>s</w:t>
      </w:r>
      <w:r>
        <w:t xml:space="preserve"> (refer to paragraph</w:t>
      </w:r>
      <w:r w:rsidR="00AB3E3F">
        <w:t xml:space="preserve"> </w:t>
      </w:r>
      <w:r w:rsidR="00AB3E3F">
        <w:fldChar w:fldCharType="begin"/>
      </w:r>
      <w:r w:rsidR="00AB3E3F">
        <w:instrText xml:space="preserve"> REF _Ref520051723 \r \h </w:instrText>
      </w:r>
      <w:r w:rsidR="00AB3E3F">
        <w:fldChar w:fldCharType="separate"/>
      </w:r>
      <w:r w:rsidR="00AE14E2">
        <w:t>32</w:t>
      </w:r>
      <w:r w:rsidR="00AB3E3F">
        <w:fldChar w:fldCharType="end"/>
      </w:r>
      <w:r>
        <w:t xml:space="preserve">), providing charities with simple, clear and </w:t>
      </w:r>
      <w:r w:rsidR="00AB3E3F">
        <w:t>concise</w:t>
      </w:r>
      <w:r>
        <w:t xml:space="preserve"> guidance.</w:t>
      </w:r>
    </w:p>
    <w:p w14:paraId="495F187C" w14:textId="77777777" w:rsidR="00BD37E0" w:rsidRDefault="00BD37E0" w:rsidP="00BD37E0">
      <w:pPr>
        <w:pStyle w:val="ListParagraph"/>
        <w:numPr>
          <w:ilvl w:val="0"/>
          <w:numId w:val="8"/>
        </w:numPr>
        <w:spacing w:before="120"/>
        <w:ind w:left="357" w:hanging="357"/>
        <w:contextualSpacing w:val="0"/>
      </w:pPr>
      <w:r w:rsidRPr="00BD37E0">
        <w:t>In August 2017, the ACNC hosted an event</w:t>
      </w:r>
      <w:r w:rsidR="00260DE3">
        <w:t xml:space="preserve"> in Canberra to discuss and explain the new streamlined reporting arrangements for charities in the ACT. </w:t>
      </w:r>
    </w:p>
    <w:p w14:paraId="603B31E6" w14:textId="77777777" w:rsidR="00B9400D" w:rsidRDefault="00B9400D" w:rsidP="00B9400D">
      <w:pPr>
        <w:pStyle w:val="ListParagraph"/>
        <w:numPr>
          <w:ilvl w:val="0"/>
          <w:numId w:val="8"/>
        </w:numPr>
        <w:spacing w:before="120"/>
        <w:contextualSpacing w:val="0"/>
      </w:pPr>
      <w:r>
        <w:t xml:space="preserve">Our Director of </w:t>
      </w:r>
      <w:r w:rsidRPr="00B9400D">
        <w:t>Reporting and Red Tape Reduction, Melville Yates</w:t>
      </w:r>
      <w:r>
        <w:t xml:space="preserve"> w</w:t>
      </w:r>
      <w:r w:rsidRPr="00B9400D">
        <w:t>as also a regular guest on CPA Australia’s podcast, recording four episodes with them over the year.</w:t>
      </w:r>
    </w:p>
    <w:p w14:paraId="59F63120" w14:textId="77777777" w:rsidR="008F3AD2" w:rsidRDefault="008F3AD2" w:rsidP="008F3AD2">
      <w:pPr>
        <w:pStyle w:val="ListParagraph"/>
        <w:numPr>
          <w:ilvl w:val="0"/>
          <w:numId w:val="8"/>
        </w:numPr>
        <w:spacing w:before="120"/>
        <w:ind w:left="357" w:hanging="357"/>
        <w:contextualSpacing w:val="0"/>
      </w:pPr>
      <w:bookmarkStart w:id="21" w:name="_Ref520104699"/>
      <w:r w:rsidRPr="008F3AD2">
        <w:t>We continued to use charities' reporting behaviour to tailor email communications</w:t>
      </w:r>
      <w:r w:rsidR="00167A4A">
        <w:t>, with a goal of improving o</w:t>
      </w:r>
      <w:r w:rsidRPr="008F3AD2">
        <w:t>n-time reporting submissions.</w:t>
      </w:r>
      <w:bookmarkEnd w:id="21"/>
      <w:r w:rsidRPr="008F3AD2">
        <w:t xml:space="preserve"> </w:t>
      </w:r>
    </w:p>
    <w:p w14:paraId="54C77A08" w14:textId="391780D5" w:rsidR="00B26FD2" w:rsidRPr="009D39CA" w:rsidRDefault="00B26FD2" w:rsidP="008F3AD2">
      <w:pPr>
        <w:pStyle w:val="ListParagraph"/>
        <w:numPr>
          <w:ilvl w:val="0"/>
          <w:numId w:val="8"/>
        </w:numPr>
      </w:pPr>
      <w:r w:rsidRPr="009D39CA">
        <w:t xml:space="preserve">We note that </w:t>
      </w:r>
      <w:r w:rsidR="005A5A1C" w:rsidRPr="009D39CA">
        <w:t>our website is yet to be fully compliant with the Government’s Web Content Accessibility Guidelines.</w:t>
      </w:r>
      <w:r w:rsidR="009D39CA" w:rsidRPr="009D39CA">
        <w:t xml:space="preserve"> The</w:t>
      </w:r>
      <w:r w:rsidR="005A5A1C" w:rsidRPr="009D39CA">
        <w:t xml:space="preserve"> </w:t>
      </w:r>
      <w:r w:rsidR="009D39CA" w:rsidRPr="009D39CA">
        <w:t>ACNC received funding in the 201</w:t>
      </w:r>
      <w:r w:rsidR="005C1433">
        <w:t>7</w:t>
      </w:r>
      <w:r w:rsidR="009D39CA" w:rsidRPr="009D39CA">
        <w:t xml:space="preserve"> Federal Budget, which will allow us to upgrade our website’s content management system. </w:t>
      </w:r>
      <w:r w:rsidR="005A5A1C" w:rsidRPr="009D39CA">
        <w:t xml:space="preserve">The ACNC’s website will be relaunched </w:t>
      </w:r>
      <w:r w:rsidR="00AF54D2">
        <w:t>in September 2018,</w:t>
      </w:r>
      <w:r w:rsidR="005A5A1C" w:rsidRPr="009D39CA">
        <w:t xml:space="preserve"> and will be fully compliant with the Government’s Web Content Accessibility Guidelines.</w:t>
      </w:r>
    </w:p>
    <w:p w14:paraId="03A163D8" w14:textId="77777777" w:rsidR="00F16460" w:rsidRPr="00F94A28" w:rsidRDefault="00F16460" w:rsidP="00F16460">
      <w:pPr>
        <w:pStyle w:val="Heading4"/>
        <w:rPr>
          <w:rFonts w:eastAsia="Calibri"/>
        </w:rPr>
      </w:pPr>
      <w:r>
        <w:rPr>
          <w:rFonts w:eastAsia="Calibri"/>
        </w:rPr>
        <w:t>Co</w:t>
      </w:r>
      <w:r w:rsidR="007A4754">
        <w:rPr>
          <w:rFonts w:eastAsia="Calibri"/>
        </w:rPr>
        <w:t>mmunication</w:t>
      </w:r>
    </w:p>
    <w:p w14:paraId="61800E43" w14:textId="77777777" w:rsidR="00AB3E3F" w:rsidRDefault="004E2F87" w:rsidP="00AB3E3F">
      <w:pPr>
        <w:pStyle w:val="ListParagraph"/>
        <w:numPr>
          <w:ilvl w:val="0"/>
          <w:numId w:val="8"/>
        </w:numPr>
        <w:spacing w:before="120"/>
        <w:ind w:left="357" w:hanging="357"/>
        <w:contextualSpacing w:val="0"/>
      </w:pPr>
      <w:r>
        <w:t xml:space="preserve">As highlighted under KPI1 </w:t>
      </w:r>
      <w:r w:rsidR="00AB3E3F">
        <w:t xml:space="preserve">(refer to paragraphs </w:t>
      </w:r>
      <w:r w:rsidR="00AB3E3F">
        <w:fldChar w:fldCharType="begin"/>
      </w:r>
      <w:r w:rsidR="00AB3E3F">
        <w:instrText xml:space="preserve"> REF _Ref520051818 \r \h </w:instrText>
      </w:r>
      <w:r w:rsidR="00AB3E3F">
        <w:fldChar w:fldCharType="separate"/>
      </w:r>
      <w:r w:rsidR="00AE14E2">
        <w:t>18</w:t>
      </w:r>
      <w:r w:rsidR="00AB3E3F">
        <w:fldChar w:fldCharType="end"/>
      </w:r>
      <w:r w:rsidR="00AB3E3F">
        <w:t>-</w:t>
      </w:r>
      <w:r w:rsidR="00AB3E3F">
        <w:fldChar w:fldCharType="begin"/>
      </w:r>
      <w:r w:rsidR="00AB3E3F">
        <w:instrText xml:space="preserve"> REF _Ref520051822 \r \h </w:instrText>
      </w:r>
      <w:r w:rsidR="00AB3E3F">
        <w:fldChar w:fldCharType="separate"/>
      </w:r>
      <w:r w:rsidR="00AE14E2">
        <w:t>19</w:t>
      </w:r>
      <w:r w:rsidR="00AB3E3F">
        <w:fldChar w:fldCharType="end"/>
      </w:r>
      <w:r>
        <w:t>), t</w:t>
      </w:r>
      <w:r w:rsidR="00F16460">
        <w:t xml:space="preserve">he ACNC </w:t>
      </w:r>
      <w:r>
        <w:t>continued to consult</w:t>
      </w:r>
      <w:r w:rsidR="00F16460">
        <w:t xml:space="preserve"> with the charity sector and other stakeholders </w:t>
      </w:r>
      <w:r w:rsidR="00F23F73">
        <w:t>throughout</w:t>
      </w:r>
      <w:r w:rsidR="00F16460">
        <w:t xml:space="preserve"> 201</w:t>
      </w:r>
      <w:r>
        <w:t>7-18</w:t>
      </w:r>
      <w:r w:rsidR="00F16460">
        <w:t xml:space="preserve">. </w:t>
      </w:r>
      <w:r w:rsidR="00F16460" w:rsidRPr="009D39CA">
        <w:t xml:space="preserve">These included the </w:t>
      </w:r>
      <w:r w:rsidR="00F23F73" w:rsidRPr="009D39CA">
        <w:t>PUG</w:t>
      </w:r>
      <w:r w:rsidR="00F16460" w:rsidRPr="009D39CA">
        <w:t xml:space="preserve"> and </w:t>
      </w:r>
      <w:r w:rsidR="00F23F73" w:rsidRPr="009D39CA">
        <w:t>SUG</w:t>
      </w:r>
      <w:r w:rsidR="00F16460" w:rsidRPr="009D39CA">
        <w:t xml:space="preserve">. </w:t>
      </w:r>
      <w:r w:rsidR="005E7922" w:rsidRPr="009D39CA">
        <w:t xml:space="preserve">For example, </w:t>
      </w:r>
      <w:r w:rsidR="00AB3E3F" w:rsidRPr="009D39CA">
        <w:t xml:space="preserve">when developing the </w:t>
      </w:r>
      <w:hyperlink r:id="rId31" w:history="1">
        <w:r w:rsidR="005E7922" w:rsidRPr="00D41F44">
          <w:rPr>
            <w:rStyle w:val="Hyperlink"/>
          </w:rPr>
          <w:t>Commissioner’</w:t>
        </w:r>
        <w:r w:rsidR="000177B3">
          <w:rPr>
            <w:rStyle w:val="Hyperlink"/>
          </w:rPr>
          <w:t xml:space="preserve">s Policy Statement: </w:t>
        </w:r>
        <w:r w:rsidR="00B9400D" w:rsidRPr="00D41F44">
          <w:rPr>
            <w:rStyle w:val="Hyperlink"/>
          </w:rPr>
          <w:t>Financial</w:t>
        </w:r>
        <w:r w:rsidR="00D41F44" w:rsidRPr="00D41F44">
          <w:rPr>
            <w:rStyle w:val="Hyperlink"/>
          </w:rPr>
          <w:t xml:space="preserve"> reporting</w:t>
        </w:r>
        <w:r w:rsidR="00B9400D" w:rsidRPr="00D41F44">
          <w:rPr>
            <w:rStyle w:val="Hyperlink"/>
          </w:rPr>
          <w:t xml:space="preserve"> s</w:t>
        </w:r>
        <w:r w:rsidR="005E7922" w:rsidRPr="00D41F44">
          <w:rPr>
            <w:rStyle w:val="Hyperlink"/>
          </w:rPr>
          <w:t xml:space="preserve">caffolding </w:t>
        </w:r>
        <w:r w:rsidR="00D41F44" w:rsidRPr="00D41F44">
          <w:rPr>
            <w:rStyle w:val="Hyperlink"/>
          </w:rPr>
          <w:t>strategy</w:t>
        </w:r>
      </w:hyperlink>
      <w:r w:rsidR="005E7922">
        <w:t xml:space="preserve">, the ACNC </w:t>
      </w:r>
      <w:r w:rsidR="00B9400D">
        <w:t xml:space="preserve">sought feedback from </w:t>
      </w:r>
      <w:r w:rsidR="005E7922">
        <w:t xml:space="preserve">our Advisory Board, PUG, SUG and </w:t>
      </w:r>
      <w:r w:rsidR="008963E0">
        <w:t>the Australian Accounting Standards Board</w:t>
      </w:r>
      <w:r w:rsidR="005E7922">
        <w:t>.</w:t>
      </w:r>
    </w:p>
    <w:p w14:paraId="08B01468" w14:textId="77777777" w:rsidR="00F16460" w:rsidRDefault="00AB3E3F" w:rsidP="00B26FD2">
      <w:pPr>
        <w:pStyle w:val="ListParagraph"/>
        <w:numPr>
          <w:ilvl w:val="0"/>
          <w:numId w:val="8"/>
        </w:numPr>
      </w:pPr>
      <w:r>
        <w:t xml:space="preserve">We also seek feedback in a range of ways, including online surveys (refer to paragraphs </w:t>
      </w:r>
      <w:r>
        <w:fldChar w:fldCharType="begin"/>
      </w:r>
      <w:r>
        <w:instrText xml:space="preserve"> REF _Ref520052108 \r \h </w:instrText>
      </w:r>
      <w:r>
        <w:fldChar w:fldCharType="separate"/>
      </w:r>
      <w:r w:rsidR="00AE14E2">
        <w:t>37</w:t>
      </w:r>
      <w:r>
        <w:fldChar w:fldCharType="end"/>
      </w:r>
      <w:r>
        <w:t>-</w:t>
      </w:r>
      <w:r>
        <w:fldChar w:fldCharType="begin"/>
      </w:r>
      <w:r>
        <w:instrText xml:space="preserve"> REF _Ref520052111 \r \h </w:instrText>
      </w:r>
      <w:r>
        <w:fldChar w:fldCharType="separate"/>
      </w:r>
      <w:r w:rsidR="00AE14E2">
        <w:t>38</w:t>
      </w:r>
      <w:r>
        <w:fldChar w:fldCharType="end"/>
      </w:r>
      <w:r>
        <w:t>) and face-to-face feedback.</w:t>
      </w:r>
    </w:p>
    <w:p w14:paraId="660B9B1E" w14:textId="77777777" w:rsidR="00F94A28" w:rsidRPr="00FE7123" w:rsidRDefault="00FE7123" w:rsidP="00FE7123">
      <w:pPr>
        <w:pStyle w:val="Heading4"/>
        <w:rPr>
          <w:rFonts w:eastAsia="Calibri"/>
        </w:rPr>
      </w:pPr>
      <w:r w:rsidRPr="00FE7123">
        <w:rPr>
          <w:rFonts w:eastAsia="Calibri"/>
        </w:rPr>
        <w:lastRenderedPageBreak/>
        <w:t>T</w:t>
      </w:r>
      <w:r w:rsidR="00F94A28" w:rsidRPr="00FE7123">
        <w:rPr>
          <w:rFonts w:eastAsia="Calibri"/>
        </w:rPr>
        <w:t>imely and clear decisions</w:t>
      </w:r>
      <w:r w:rsidR="00536E88">
        <w:rPr>
          <w:rFonts w:eastAsia="Calibri"/>
        </w:rPr>
        <w:t xml:space="preserve"> and advice</w:t>
      </w:r>
      <w:r w:rsidR="00F94A28" w:rsidRPr="00FE7123">
        <w:rPr>
          <w:rFonts w:eastAsia="Calibri"/>
        </w:rPr>
        <w:t xml:space="preserve"> </w:t>
      </w:r>
      <w:r w:rsidR="00F16460">
        <w:rPr>
          <w:rFonts w:eastAsia="Calibri"/>
        </w:rPr>
        <w:t xml:space="preserve"> </w:t>
      </w:r>
    </w:p>
    <w:p w14:paraId="664AB6B9" w14:textId="77777777" w:rsidR="00534608" w:rsidRDefault="00B37570" w:rsidP="00260DE3">
      <w:pPr>
        <w:pStyle w:val="ListParagraph"/>
        <w:numPr>
          <w:ilvl w:val="0"/>
          <w:numId w:val="8"/>
        </w:numPr>
        <w:ind w:left="357" w:hanging="357"/>
        <w:contextualSpacing w:val="0"/>
      </w:pPr>
      <w:r>
        <w:t>The ACNC is committed to providing timely, high quality services to the public and charities</w:t>
      </w:r>
      <w:r w:rsidR="00BF59E0">
        <w:t xml:space="preserve">. </w:t>
      </w:r>
    </w:p>
    <w:p w14:paraId="5B50B577" w14:textId="77777777" w:rsidR="00260DE3" w:rsidRDefault="00260DE3" w:rsidP="00787A64">
      <w:pPr>
        <w:pStyle w:val="ListParagraph"/>
        <w:numPr>
          <w:ilvl w:val="0"/>
          <w:numId w:val="8"/>
        </w:numPr>
        <w:ind w:left="357" w:hanging="357"/>
        <w:contextualSpacing w:val="0"/>
      </w:pPr>
      <w:r>
        <w:t>In 2017-18, p</w:t>
      </w:r>
      <w:r w:rsidR="00FE1A0B">
        <w:t>hone enquiries, o</w:t>
      </w:r>
      <w:r w:rsidR="00FE1A0B" w:rsidRPr="00FE1A0B">
        <w:t xml:space="preserve">n average, were answered within </w:t>
      </w:r>
      <w:r>
        <w:t>38</w:t>
      </w:r>
      <w:r w:rsidR="00FE1A0B" w:rsidRPr="00FE1A0B">
        <w:t xml:space="preserve"> seconds. </w:t>
      </w:r>
      <w:r w:rsidR="004B0D8D">
        <w:t>This was a</w:t>
      </w:r>
      <w:r>
        <w:t xml:space="preserve"> significant improvement compared to 2016-17 (62 seconds) and 2015-16 (52 seconds). Across the year, 87 per cent of calls were answered within our service standard of two minutes</w:t>
      </w:r>
      <w:r w:rsidR="00362CDE">
        <w:t>,</w:t>
      </w:r>
      <w:r>
        <w:t xml:space="preserve"> compared to 78 per cent in 2016-17. In March 2018, </w:t>
      </w:r>
      <w:r w:rsidR="00362CDE">
        <w:t>our</w:t>
      </w:r>
      <w:r>
        <w:t xml:space="preserve"> service </w:t>
      </w:r>
      <w:r w:rsidR="00537CD6">
        <w:t>hours</w:t>
      </w:r>
      <w:r>
        <w:t xml:space="preserve"> </w:t>
      </w:r>
      <w:r w:rsidR="00537CD6">
        <w:t xml:space="preserve">were </w:t>
      </w:r>
      <w:r>
        <w:t>reduced from 9am-6pm to 9am-5pm</w:t>
      </w:r>
      <w:r w:rsidR="00AF54D2">
        <w:t>,</w:t>
      </w:r>
      <w:r w:rsidR="00362CDE">
        <w:t xml:space="preserve"> due to resourcing constraints</w:t>
      </w:r>
      <w:r>
        <w:t>.</w:t>
      </w:r>
      <w:r w:rsidR="00537CD6">
        <w:t xml:space="preserve"> This had a minimal effect</w:t>
      </w:r>
      <w:r w:rsidR="00362CDE">
        <w:t xml:space="preserve"> on the public and charities</w:t>
      </w:r>
      <w:r w:rsidR="00537CD6">
        <w:t xml:space="preserve"> because we received the smallest number of calls between 5pm and 6pm.</w:t>
      </w:r>
      <w:r w:rsidR="00362CDE">
        <w:t xml:space="preserve"> </w:t>
      </w:r>
    </w:p>
    <w:p w14:paraId="424E8367" w14:textId="77777777" w:rsidR="00B37570" w:rsidRPr="00925A9B" w:rsidRDefault="00FE1A0B" w:rsidP="00B26FD2">
      <w:pPr>
        <w:pStyle w:val="ListParagraph"/>
        <w:numPr>
          <w:ilvl w:val="0"/>
          <w:numId w:val="8"/>
        </w:numPr>
      </w:pPr>
      <w:r w:rsidRPr="00FE1A0B">
        <w:t xml:space="preserve">We </w:t>
      </w:r>
      <w:r w:rsidR="00B26BE5">
        <w:t xml:space="preserve">continue to </w:t>
      </w:r>
      <w:r w:rsidRPr="00FE1A0B">
        <w:t xml:space="preserve">provide a supportive and interactive registration process, recognising that most applicants have limited knowledge of charity law. Our service standard is to finalise applications within </w:t>
      </w:r>
      <w:r w:rsidRPr="00925A9B">
        <w:t>15 business days of receiving all necessary information. We achieved this standard for 9</w:t>
      </w:r>
      <w:r w:rsidR="00787A64" w:rsidRPr="00925A9B">
        <w:t>8</w:t>
      </w:r>
      <w:r w:rsidR="00B9400D">
        <w:t xml:space="preserve"> per cent</w:t>
      </w:r>
      <w:r w:rsidRPr="00925A9B">
        <w:t xml:space="preserve"> of applications during 201</w:t>
      </w:r>
      <w:r w:rsidR="00787A64" w:rsidRPr="00925A9B">
        <w:t>7–18, an increase of 3 per cent year-on-year.</w:t>
      </w:r>
    </w:p>
    <w:p w14:paraId="5913D2D8" w14:textId="77777777" w:rsidR="00FE1A0B" w:rsidRPr="00925A9B" w:rsidRDefault="00FE1A0B" w:rsidP="00B26FD2">
      <w:pPr>
        <w:pStyle w:val="Heading4"/>
        <w:keepNext w:val="0"/>
        <w:keepLines w:val="0"/>
        <w:widowControl w:val="0"/>
        <w:numPr>
          <w:ilvl w:val="0"/>
          <w:numId w:val="8"/>
        </w:numPr>
        <w:rPr>
          <w:b w:val="0"/>
          <w:bCs w:val="0"/>
          <w:i w:val="0"/>
          <w:iCs w:val="0"/>
          <w:color w:val="auto"/>
          <w:szCs w:val="24"/>
        </w:rPr>
      </w:pPr>
      <w:r w:rsidRPr="00925A9B">
        <w:rPr>
          <w:b w:val="0"/>
          <w:bCs w:val="0"/>
          <w:i w:val="0"/>
          <w:iCs w:val="0"/>
          <w:color w:val="auto"/>
          <w:szCs w:val="24"/>
        </w:rPr>
        <w:t>Under the ACNC Act, a charity or its responsible person may object to certain ACNC decisions, requesting they be internally reviewed. In 201</w:t>
      </w:r>
      <w:r w:rsidR="00787A64" w:rsidRPr="00925A9B">
        <w:rPr>
          <w:b w:val="0"/>
          <w:bCs w:val="0"/>
          <w:i w:val="0"/>
          <w:iCs w:val="0"/>
          <w:color w:val="auto"/>
          <w:szCs w:val="24"/>
        </w:rPr>
        <w:t>7</w:t>
      </w:r>
      <w:r w:rsidRPr="00925A9B">
        <w:rPr>
          <w:b w:val="0"/>
          <w:bCs w:val="0"/>
          <w:i w:val="0"/>
          <w:iCs w:val="0"/>
          <w:color w:val="auto"/>
          <w:szCs w:val="24"/>
        </w:rPr>
        <w:t>-1</w:t>
      </w:r>
      <w:r w:rsidR="00787A64" w:rsidRPr="00925A9B">
        <w:rPr>
          <w:b w:val="0"/>
          <w:bCs w:val="0"/>
          <w:i w:val="0"/>
          <w:iCs w:val="0"/>
          <w:color w:val="auto"/>
          <w:szCs w:val="24"/>
        </w:rPr>
        <w:t>8</w:t>
      </w:r>
      <w:r w:rsidRPr="00925A9B">
        <w:rPr>
          <w:b w:val="0"/>
          <w:bCs w:val="0"/>
          <w:i w:val="0"/>
          <w:iCs w:val="0"/>
          <w:color w:val="auto"/>
          <w:szCs w:val="24"/>
        </w:rPr>
        <w:t xml:space="preserve"> we received </w:t>
      </w:r>
      <w:r w:rsidR="009B132B">
        <w:rPr>
          <w:b w:val="0"/>
          <w:bCs w:val="0"/>
          <w:i w:val="0"/>
          <w:iCs w:val="0"/>
          <w:color w:val="auto"/>
          <w:szCs w:val="24"/>
        </w:rPr>
        <w:t>19</w:t>
      </w:r>
      <w:r w:rsidRPr="00925A9B">
        <w:rPr>
          <w:b w:val="0"/>
          <w:bCs w:val="0"/>
          <w:i w:val="0"/>
          <w:iCs w:val="0"/>
          <w:color w:val="auto"/>
          <w:szCs w:val="24"/>
        </w:rPr>
        <w:t xml:space="preserve"> </w:t>
      </w:r>
      <w:r w:rsidR="009B132B">
        <w:rPr>
          <w:b w:val="0"/>
          <w:bCs w:val="0"/>
          <w:i w:val="0"/>
          <w:iCs w:val="0"/>
          <w:color w:val="auto"/>
          <w:szCs w:val="24"/>
        </w:rPr>
        <w:t xml:space="preserve">objections </w:t>
      </w:r>
      <w:r w:rsidR="007D1DED" w:rsidRPr="00925A9B">
        <w:rPr>
          <w:b w:val="0"/>
          <w:bCs w:val="0"/>
          <w:i w:val="0"/>
          <w:iCs w:val="0"/>
          <w:color w:val="auto"/>
          <w:szCs w:val="24"/>
        </w:rPr>
        <w:t>that</w:t>
      </w:r>
      <w:r w:rsidRPr="00925A9B">
        <w:rPr>
          <w:b w:val="0"/>
          <w:bCs w:val="0"/>
          <w:i w:val="0"/>
          <w:iCs w:val="0"/>
          <w:color w:val="auto"/>
          <w:szCs w:val="24"/>
        </w:rPr>
        <w:t xml:space="preserve"> related to our decision to refuse charity registration</w:t>
      </w:r>
      <w:r w:rsidR="00AF54D2">
        <w:rPr>
          <w:b w:val="0"/>
          <w:bCs w:val="0"/>
          <w:i w:val="0"/>
          <w:iCs w:val="0"/>
          <w:color w:val="auto"/>
          <w:szCs w:val="24"/>
        </w:rPr>
        <w:t>,</w:t>
      </w:r>
      <w:r w:rsidR="00EA6265">
        <w:rPr>
          <w:b w:val="0"/>
          <w:bCs w:val="0"/>
          <w:i w:val="0"/>
          <w:iCs w:val="0"/>
          <w:color w:val="auto"/>
          <w:szCs w:val="24"/>
        </w:rPr>
        <w:t xml:space="preserve"> or</w:t>
      </w:r>
      <w:r w:rsidRPr="00925A9B">
        <w:rPr>
          <w:b w:val="0"/>
          <w:bCs w:val="0"/>
          <w:i w:val="0"/>
          <w:iCs w:val="0"/>
          <w:color w:val="auto"/>
          <w:szCs w:val="24"/>
        </w:rPr>
        <w:t xml:space="preserve"> refuse to register a charity with a particular subtype. </w:t>
      </w:r>
      <w:r w:rsidR="00362CDE" w:rsidRPr="00925A9B">
        <w:rPr>
          <w:b w:val="0"/>
          <w:bCs w:val="0"/>
          <w:i w:val="0"/>
          <w:iCs w:val="0"/>
          <w:color w:val="auto"/>
          <w:szCs w:val="24"/>
        </w:rPr>
        <w:t xml:space="preserve"> These applicants were provided with a </w:t>
      </w:r>
      <w:r w:rsidR="00A11597">
        <w:rPr>
          <w:b w:val="0"/>
          <w:bCs w:val="0"/>
          <w:i w:val="0"/>
          <w:iCs w:val="0"/>
          <w:color w:val="auto"/>
          <w:szCs w:val="24"/>
        </w:rPr>
        <w:t>‘</w:t>
      </w:r>
      <w:r w:rsidR="00362CDE" w:rsidRPr="00925A9B">
        <w:rPr>
          <w:b w:val="0"/>
          <w:bCs w:val="0"/>
          <w:i w:val="0"/>
          <w:iCs w:val="0"/>
          <w:color w:val="auto"/>
          <w:szCs w:val="24"/>
        </w:rPr>
        <w:t>reasons for decision</w:t>
      </w:r>
      <w:r w:rsidR="00A11597">
        <w:rPr>
          <w:b w:val="0"/>
          <w:bCs w:val="0"/>
          <w:i w:val="0"/>
          <w:iCs w:val="0"/>
          <w:color w:val="auto"/>
          <w:szCs w:val="24"/>
        </w:rPr>
        <w:t>’</w:t>
      </w:r>
      <w:r w:rsidR="00362CDE" w:rsidRPr="00925A9B">
        <w:rPr>
          <w:b w:val="0"/>
          <w:bCs w:val="0"/>
          <w:i w:val="0"/>
          <w:iCs w:val="0"/>
          <w:color w:val="auto"/>
          <w:szCs w:val="24"/>
        </w:rPr>
        <w:t xml:space="preserve"> document which outlined the ACNC’s position.</w:t>
      </w:r>
    </w:p>
    <w:p w14:paraId="688C8CCC" w14:textId="55B63E40" w:rsidR="00FE1A0B" w:rsidRPr="00925A9B" w:rsidRDefault="005E7922" w:rsidP="00EB021D">
      <w:pPr>
        <w:pStyle w:val="Heading4"/>
        <w:numPr>
          <w:ilvl w:val="0"/>
          <w:numId w:val="8"/>
        </w:numPr>
        <w:rPr>
          <w:b w:val="0"/>
          <w:bCs w:val="0"/>
          <w:i w:val="0"/>
          <w:iCs w:val="0"/>
          <w:color w:val="auto"/>
          <w:szCs w:val="24"/>
        </w:rPr>
      </w:pPr>
      <w:r w:rsidRPr="00925A9B">
        <w:rPr>
          <w:b w:val="0"/>
          <w:bCs w:val="0"/>
          <w:i w:val="0"/>
          <w:iCs w:val="0"/>
          <w:color w:val="auto"/>
          <w:szCs w:val="24"/>
        </w:rPr>
        <w:t xml:space="preserve">In 2017-18, we </w:t>
      </w:r>
      <w:r w:rsidR="00362CDE" w:rsidRPr="00925A9B">
        <w:rPr>
          <w:b w:val="0"/>
          <w:bCs w:val="0"/>
          <w:i w:val="0"/>
          <w:iCs w:val="0"/>
          <w:color w:val="auto"/>
          <w:szCs w:val="24"/>
        </w:rPr>
        <w:t xml:space="preserve">also </w:t>
      </w:r>
      <w:r w:rsidRPr="00925A9B">
        <w:rPr>
          <w:b w:val="0"/>
          <w:bCs w:val="0"/>
          <w:i w:val="0"/>
          <w:iCs w:val="0"/>
          <w:color w:val="auto"/>
          <w:szCs w:val="24"/>
        </w:rPr>
        <w:t xml:space="preserve">issued penalty notices </w:t>
      </w:r>
      <w:r w:rsidR="00AF54D2">
        <w:rPr>
          <w:b w:val="0"/>
          <w:bCs w:val="0"/>
          <w:i w:val="0"/>
          <w:iCs w:val="0"/>
          <w:color w:val="auto"/>
          <w:szCs w:val="24"/>
        </w:rPr>
        <w:t>to</w:t>
      </w:r>
      <w:r w:rsidR="00AF54D2" w:rsidRPr="00925A9B">
        <w:rPr>
          <w:b w:val="0"/>
          <w:bCs w:val="0"/>
          <w:i w:val="0"/>
          <w:iCs w:val="0"/>
          <w:color w:val="auto"/>
          <w:szCs w:val="24"/>
        </w:rPr>
        <w:t xml:space="preserve"> </w:t>
      </w:r>
      <w:r w:rsidRPr="00925A9B">
        <w:rPr>
          <w:b w:val="0"/>
          <w:bCs w:val="0"/>
          <w:i w:val="0"/>
          <w:iCs w:val="0"/>
          <w:color w:val="auto"/>
          <w:szCs w:val="24"/>
        </w:rPr>
        <w:t>78 charities that had not submitted their outstanding</w:t>
      </w:r>
      <w:r w:rsidRPr="007406DB">
        <w:rPr>
          <w:b w:val="0"/>
          <w:bCs w:val="0"/>
          <w:i w:val="0"/>
          <w:iCs w:val="0"/>
          <w:color w:val="auto"/>
          <w:szCs w:val="24"/>
        </w:rPr>
        <w:t xml:space="preserve"> </w:t>
      </w:r>
      <w:r w:rsidRPr="00925A9B">
        <w:rPr>
          <w:b w:val="0"/>
          <w:bCs w:val="0"/>
          <w:i w:val="0"/>
          <w:iCs w:val="0"/>
          <w:color w:val="auto"/>
          <w:szCs w:val="24"/>
        </w:rPr>
        <w:t xml:space="preserve">Annual </w:t>
      </w:r>
      <w:r w:rsidR="008F568B" w:rsidRPr="00925A9B">
        <w:rPr>
          <w:b w:val="0"/>
          <w:bCs w:val="0"/>
          <w:i w:val="0"/>
          <w:iCs w:val="0"/>
          <w:color w:val="auto"/>
          <w:szCs w:val="24"/>
        </w:rPr>
        <w:t>Information</w:t>
      </w:r>
      <w:r w:rsidRPr="00925A9B">
        <w:rPr>
          <w:b w:val="0"/>
          <w:bCs w:val="0"/>
          <w:i w:val="0"/>
          <w:iCs w:val="0"/>
          <w:color w:val="auto"/>
          <w:szCs w:val="24"/>
        </w:rPr>
        <w:t xml:space="preserve"> Statement(s). We received </w:t>
      </w:r>
      <w:r w:rsidR="008F568B" w:rsidRPr="00925A9B">
        <w:rPr>
          <w:b w:val="0"/>
          <w:bCs w:val="0"/>
          <w:i w:val="0"/>
          <w:iCs w:val="0"/>
          <w:color w:val="auto"/>
          <w:szCs w:val="24"/>
        </w:rPr>
        <w:t xml:space="preserve">24 requests </w:t>
      </w:r>
      <w:r w:rsidR="002F587B">
        <w:rPr>
          <w:b w:val="0"/>
          <w:bCs w:val="0"/>
          <w:i w:val="0"/>
          <w:iCs w:val="0"/>
          <w:color w:val="auto"/>
          <w:szCs w:val="24"/>
        </w:rPr>
        <w:t>to remit the penalty</w:t>
      </w:r>
      <w:r w:rsidR="008F568B" w:rsidRPr="00925A9B">
        <w:rPr>
          <w:b w:val="0"/>
          <w:bCs w:val="0"/>
          <w:i w:val="0"/>
          <w:iCs w:val="0"/>
          <w:color w:val="auto"/>
          <w:szCs w:val="24"/>
        </w:rPr>
        <w:t xml:space="preserve"> – </w:t>
      </w:r>
      <w:r w:rsidR="008C2A60">
        <w:rPr>
          <w:b w:val="0"/>
          <w:bCs w:val="0"/>
          <w:i w:val="0"/>
          <w:iCs w:val="0"/>
          <w:color w:val="auto"/>
          <w:szCs w:val="24"/>
        </w:rPr>
        <w:t>eight</w:t>
      </w:r>
      <w:r w:rsidR="008F568B" w:rsidRPr="00925A9B">
        <w:rPr>
          <w:b w:val="0"/>
          <w:bCs w:val="0"/>
          <w:i w:val="0"/>
          <w:iCs w:val="0"/>
          <w:color w:val="auto"/>
          <w:szCs w:val="24"/>
        </w:rPr>
        <w:t xml:space="preserve"> penalties were fully remitted, </w:t>
      </w:r>
      <w:r w:rsidR="007406DB" w:rsidRPr="00925A9B">
        <w:rPr>
          <w:b w:val="0"/>
          <w:bCs w:val="0"/>
          <w:i w:val="0"/>
          <w:iCs w:val="0"/>
          <w:color w:val="auto"/>
          <w:szCs w:val="24"/>
        </w:rPr>
        <w:t>four</w:t>
      </w:r>
      <w:r w:rsidR="008F568B" w:rsidRPr="00925A9B">
        <w:rPr>
          <w:b w:val="0"/>
          <w:bCs w:val="0"/>
          <w:i w:val="0"/>
          <w:iCs w:val="0"/>
          <w:color w:val="auto"/>
          <w:szCs w:val="24"/>
        </w:rPr>
        <w:t xml:space="preserve"> were partially remitted and </w:t>
      </w:r>
      <w:r w:rsidR="008C2A60">
        <w:rPr>
          <w:b w:val="0"/>
          <w:bCs w:val="0"/>
          <w:i w:val="0"/>
          <w:iCs w:val="0"/>
          <w:color w:val="auto"/>
          <w:szCs w:val="24"/>
        </w:rPr>
        <w:t>ten</w:t>
      </w:r>
      <w:r w:rsidR="008F568B" w:rsidRPr="00925A9B">
        <w:rPr>
          <w:b w:val="0"/>
          <w:bCs w:val="0"/>
          <w:i w:val="0"/>
          <w:iCs w:val="0"/>
          <w:color w:val="auto"/>
          <w:szCs w:val="24"/>
        </w:rPr>
        <w:t xml:space="preserve"> were refused. </w:t>
      </w:r>
      <w:r w:rsidR="007C10A7">
        <w:rPr>
          <w:b w:val="0"/>
          <w:bCs w:val="0"/>
          <w:i w:val="0"/>
          <w:iCs w:val="0"/>
          <w:color w:val="auto"/>
          <w:szCs w:val="24"/>
        </w:rPr>
        <w:t>One was withdrawn</w:t>
      </w:r>
      <w:r w:rsidR="00473C16">
        <w:rPr>
          <w:b w:val="0"/>
          <w:bCs w:val="0"/>
          <w:i w:val="0"/>
          <w:iCs w:val="0"/>
          <w:color w:val="auto"/>
          <w:szCs w:val="24"/>
        </w:rPr>
        <w:t xml:space="preserve"> and </w:t>
      </w:r>
      <w:r w:rsidR="00473C16" w:rsidRPr="009B0653">
        <w:rPr>
          <w:b w:val="0"/>
          <w:bCs w:val="0"/>
          <w:i w:val="0"/>
          <w:iCs w:val="0"/>
          <w:color w:val="auto"/>
          <w:szCs w:val="24"/>
        </w:rPr>
        <w:t>one decision is pending</w:t>
      </w:r>
      <w:r w:rsidR="007C10A7">
        <w:rPr>
          <w:b w:val="0"/>
          <w:bCs w:val="0"/>
          <w:i w:val="0"/>
          <w:iCs w:val="0"/>
          <w:color w:val="auto"/>
          <w:szCs w:val="24"/>
        </w:rPr>
        <w:t xml:space="preserve">. </w:t>
      </w:r>
      <w:r w:rsidR="008F568B" w:rsidRPr="00925A9B">
        <w:rPr>
          <w:b w:val="0"/>
          <w:bCs w:val="0"/>
          <w:i w:val="0"/>
          <w:iCs w:val="0"/>
          <w:color w:val="auto"/>
          <w:szCs w:val="24"/>
        </w:rPr>
        <w:t xml:space="preserve">There </w:t>
      </w:r>
      <w:r w:rsidR="0022448C">
        <w:rPr>
          <w:b w:val="0"/>
          <w:bCs w:val="0"/>
          <w:i w:val="0"/>
          <w:iCs w:val="0"/>
          <w:color w:val="auto"/>
          <w:szCs w:val="24"/>
        </w:rPr>
        <w:t xml:space="preserve">were no objections to our </w:t>
      </w:r>
      <w:r w:rsidR="008F568B" w:rsidRPr="00925A9B">
        <w:rPr>
          <w:b w:val="0"/>
          <w:bCs w:val="0"/>
          <w:i w:val="0"/>
          <w:iCs w:val="0"/>
          <w:color w:val="auto"/>
          <w:szCs w:val="24"/>
        </w:rPr>
        <w:t>decision</w:t>
      </w:r>
      <w:r w:rsidR="00400E46">
        <w:rPr>
          <w:b w:val="0"/>
          <w:bCs w:val="0"/>
          <w:i w:val="0"/>
          <w:iCs w:val="0"/>
          <w:color w:val="auto"/>
          <w:szCs w:val="24"/>
        </w:rPr>
        <w:t>s</w:t>
      </w:r>
      <w:r w:rsidR="008F568B" w:rsidRPr="00925A9B">
        <w:rPr>
          <w:b w:val="0"/>
          <w:bCs w:val="0"/>
          <w:i w:val="0"/>
          <w:iCs w:val="0"/>
          <w:color w:val="auto"/>
          <w:szCs w:val="24"/>
        </w:rPr>
        <w:t>.</w:t>
      </w:r>
      <w:r w:rsidR="00362CDE" w:rsidRPr="00925A9B">
        <w:rPr>
          <w:b w:val="0"/>
          <w:bCs w:val="0"/>
          <w:i w:val="0"/>
          <w:iCs w:val="0"/>
          <w:color w:val="auto"/>
          <w:szCs w:val="24"/>
        </w:rPr>
        <w:t xml:space="preserve"> </w:t>
      </w:r>
      <w:r w:rsidR="008F568B" w:rsidRPr="00925A9B">
        <w:rPr>
          <w:b w:val="0"/>
          <w:bCs w:val="0"/>
          <w:i w:val="0"/>
          <w:iCs w:val="0"/>
          <w:color w:val="auto"/>
          <w:szCs w:val="24"/>
        </w:rPr>
        <w:t>We received two objections that related to the revocation of charity status due to compliance investigations</w:t>
      </w:r>
      <w:r w:rsidR="00925A9B" w:rsidRPr="00925A9B">
        <w:rPr>
          <w:b w:val="0"/>
          <w:bCs w:val="0"/>
          <w:i w:val="0"/>
          <w:iCs w:val="0"/>
          <w:color w:val="auto"/>
          <w:szCs w:val="24"/>
        </w:rPr>
        <w:t xml:space="preserve"> – one </w:t>
      </w:r>
      <w:r w:rsidR="008963E0">
        <w:rPr>
          <w:b w:val="0"/>
          <w:bCs w:val="0"/>
          <w:i w:val="0"/>
          <w:iCs w:val="0"/>
          <w:color w:val="auto"/>
          <w:szCs w:val="24"/>
        </w:rPr>
        <w:t>decision</w:t>
      </w:r>
      <w:r w:rsidR="00925A9B" w:rsidRPr="00925A9B">
        <w:rPr>
          <w:b w:val="0"/>
          <w:bCs w:val="0"/>
          <w:i w:val="0"/>
          <w:iCs w:val="0"/>
          <w:color w:val="auto"/>
          <w:szCs w:val="24"/>
        </w:rPr>
        <w:t xml:space="preserve"> was </w:t>
      </w:r>
      <w:r w:rsidR="00EA6265">
        <w:rPr>
          <w:b w:val="0"/>
          <w:bCs w:val="0"/>
          <w:i w:val="0"/>
          <w:iCs w:val="0"/>
          <w:color w:val="auto"/>
          <w:szCs w:val="24"/>
        </w:rPr>
        <w:t>uphel</w:t>
      </w:r>
      <w:r w:rsidR="00925A9B" w:rsidRPr="00925A9B">
        <w:rPr>
          <w:b w:val="0"/>
          <w:bCs w:val="0"/>
          <w:i w:val="0"/>
          <w:iCs w:val="0"/>
          <w:color w:val="auto"/>
          <w:szCs w:val="24"/>
        </w:rPr>
        <w:t>d, and the other is currently being assessed</w:t>
      </w:r>
      <w:r w:rsidR="00925A9B">
        <w:rPr>
          <w:b w:val="0"/>
          <w:bCs w:val="0"/>
          <w:i w:val="0"/>
          <w:iCs w:val="0"/>
          <w:color w:val="auto"/>
          <w:szCs w:val="24"/>
        </w:rPr>
        <w:t>.</w:t>
      </w:r>
      <w:r w:rsidR="00FE1A0B" w:rsidRPr="00925A9B">
        <w:rPr>
          <w:b w:val="0"/>
          <w:bCs w:val="0"/>
          <w:i w:val="0"/>
          <w:iCs w:val="0"/>
          <w:color w:val="auto"/>
          <w:szCs w:val="24"/>
        </w:rPr>
        <w:t xml:space="preserve"> </w:t>
      </w:r>
      <w:r w:rsidR="00362CDE" w:rsidRPr="00925A9B">
        <w:rPr>
          <w:b w:val="0"/>
          <w:bCs w:val="0"/>
          <w:i w:val="0"/>
          <w:iCs w:val="0"/>
          <w:color w:val="auto"/>
          <w:szCs w:val="24"/>
        </w:rPr>
        <w:t xml:space="preserve">All of these charities were provided with a </w:t>
      </w:r>
      <w:r w:rsidR="002A6379">
        <w:rPr>
          <w:b w:val="0"/>
          <w:bCs w:val="0"/>
          <w:i w:val="0"/>
          <w:iCs w:val="0"/>
          <w:color w:val="auto"/>
          <w:szCs w:val="24"/>
        </w:rPr>
        <w:t>‘</w:t>
      </w:r>
      <w:r w:rsidR="00362CDE" w:rsidRPr="00925A9B">
        <w:rPr>
          <w:b w:val="0"/>
          <w:bCs w:val="0"/>
          <w:i w:val="0"/>
          <w:iCs w:val="0"/>
          <w:color w:val="auto"/>
          <w:szCs w:val="24"/>
        </w:rPr>
        <w:t>reasons for decision</w:t>
      </w:r>
      <w:r w:rsidR="002A6379">
        <w:rPr>
          <w:b w:val="0"/>
          <w:bCs w:val="0"/>
          <w:i w:val="0"/>
          <w:iCs w:val="0"/>
          <w:color w:val="auto"/>
          <w:szCs w:val="24"/>
        </w:rPr>
        <w:t>’</w:t>
      </w:r>
      <w:r w:rsidR="00362CDE" w:rsidRPr="00925A9B">
        <w:rPr>
          <w:b w:val="0"/>
          <w:bCs w:val="0"/>
          <w:i w:val="0"/>
          <w:iCs w:val="0"/>
          <w:color w:val="auto"/>
          <w:szCs w:val="24"/>
        </w:rPr>
        <w:t xml:space="preserve"> document which outlined the ACNC’s position.</w:t>
      </w:r>
    </w:p>
    <w:p w14:paraId="73025043" w14:textId="77777777" w:rsidR="002662BA" w:rsidRPr="00F94A28" w:rsidRDefault="00FE7123" w:rsidP="00FE1A0B">
      <w:pPr>
        <w:pStyle w:val="Heading4"/>
        <w:rPr>
          <w:rFonts w:eastAsia="Calibri"/>
        </w:rPr>
      </w:pPr>
      <w:r>
        <w:rPr>
          <w:rFonts w:eastAsia="Calibri"/>
        </w:rPr>
        <w:t>C</w:t>
      </w:r>
      <w:r w:rsidR="00F94A28" w:rsidRPr="00F94A28">
        <w:rPr>
          <w:rFonts w:eastAsia="Calibri"/>
        </w:rPr>
        <w:t>onsisten</w:t>
      </w:r>
      <w:r w:rsidR="007E129F">
        <w:rPr>
          <w:rFonts w:eastAsia="Calibri"/>
        </w:rPr>
        <w:t>cy</w:t>
      </w:r>
    </w:p>
    <w:p w14:paraId="3ACE1898" w14:textId="77777777" w:rsidR="00787A64" w:rsidRDefault="00FE1A0B" w:rsidP="00787A64">
      <w:pPr>
        <w:pStyle w:val="Heading4"/>
        <w:numPr>
          <w:ilvl w:val="0"/>
          <w:numId w:val="8"/>
        </w:numPr>
        <w:ind w:left="357" w:hanging="357"/>
        <w:rPr>
          <w:b w:val="0"/>
          <w:bCs w:val="0"/>
          <w:i w:val="0"/>
          <w:iCs w:val="0"/>
          <w:color w:val="auto"/>
          <w:szCs w:val="24"/>
        </w:rPr>
      </w:pPr>
      <w:r w:rsidRPr="00FE1A0B">
        <w:rPr>
          <w:b w:val="0"/>
          <w:bCs w:val="0"/>
          <w:i w:val="0"/>
          <w:iCs w:val="0"/>
          <w:color w:val="auto"/>
          <w:szCs w:val="24"/>
        </w:rPr>
        <w:t xml:space="preserve">ACNC staff make decisions </w:t>
      </w:r>
      <w:r w:rsidR="00341065">
        <w:rPr>
          <w:b w:val="0"/>
          <w:bCs w:val="0"/>
          <w:i w:val="0"/>
          <w:iCs w:val="0"/>
          <w:color w:val="auto"/>
          <w:szCs w:val="24"/>
        </w:rPr>
        <w:t>based on</w:t>
      </w:r>
      <w:r w:rsidRPr="00FE1A0B">
        <w:rPr>
          <w:b w:val="0"/>
          <w:bCs w:val="0"/>
          <w:i w:val="0"/>
          <w:iCs w:val="0"/>
          <w:color w:val="auto"/>
          <w:szCs w:val="24"/>
        </w:rPr>
        <w:t xml:space="preserve"> published policies and </w:t>
      </w:r>
      <w:r w:rsidR="00390CED">
        <w:rPr>
          <w:b w:val="0"/>
          <w:bCs w:val="0"/>
          <w:i w:val="0"/>
          <w:iCs w:val="0"/>
          <w:color w:val="auto"/>
          <w:szCs w:val="24"/>
        </w:rPr>
        <w:t>Operational Procedures</w:t>
      </w:r>
      <w:r w:rsidRPr="00FE1A0B">
        <w:rPr>
          <w:b w:val="0"/>
          <w:bCs w:val="0"/>
          <w:i w:val="0"/>
          <w:iCs w:val="0"/>
          <w:color w:val="auto"/>
          <w:szCs w:val="24"/>
        </w:rPr>
        <w:t xml:space="preserve">, consistent with the ACNC’s overarching </w:t>
      </w:r>
      <w:hyperlink r:id="rId32" w:history="1">
        <w:r w:rsidRPr="00972E4C">
          <w:rPr>
            <w:rStyle w:val="Hyperlink"/>
            <w:b w:val="0"/>
            <w:i w:val="0"/>
            <w:szCs w:val="24"/>
          </w:rPr>
          <w:t>Regulatory Approach Statement</w:t>
        </w:r>
      </w:hyperlink>
      <w:r w:rsidRPr="00FE1A0B">
        <w:rPr>
          <w:b w:val="0"/>
          <w:bCs w:val="0"/>
          <w:i w:val="0"/>
          <w:iCs w:val="0"/>
          <w:color w:val="auto"/>
          <w:szCs w:val="24"/>
        </w:rPr>
        <w:t xml:space="preserve">. These policies and procedures are available publicly on </w:t>
      </w:r>
      <w:r w:rsidR="00E71D9C">
        <w:rPr>
          <w:b w:val="0"/>
          <w:bCs w:val="0"/>
          <w:i w:val="0"/>
          <w:iCs w:val="0"/>
          <w:color w:val="auto"/>
          <w:szCs w:val="24"/>
        </w:rPr>
        <w:t>our</w:t>
      </w:r>
      <w:r w:rsidRPr="00FE1A0B">
        <w:rPr>
          <w:b w:val="0"/>
          <w:bCs w:val="0"/>
          <w:i w:val="0"/>
          <w:iCs w:val="0"/>
          <w:color w:val="auto"/>
          <w:szCs w:val="24"/>
        </w:rPr>
        <w:t xml:space="preserve"> website. They </w:t>
      </w:r>
      <w:r w:rsidRPr="00EA6265">
        <w:rPr>
          <w:b w:val="0"/>
          <w:bCs w:val="0"/>
          <w:i w:val="0"/>
          <w:iCs w:val="0"/>
          <w:color w:val="auto"/>
          <w:szCs w:val="24"/>
        </w:rPr>
        <w:t>include the</w:t>
      </w:r>
      <w:r w:rsidRPr="00EA6265">
        <w:rPr>
          <w:bCs w:val="0"/>
          <w:iCs w:val="0"/>
          <w:color w:val="auto"/>
          <w:szCs w:val="24"/>
        </w:rPr>
        <w:t xml:space="preserve"> </w:t>
      </w:r>
      <w:hyperlink r:id="rId33" w:history="1">
        <w:r w:rsidRPr="00EA6265">
          <w:rPr>
            <w:rStyle w:val="Hyperlink"/>
            <w:b w:val="0"/>
            <w:i w:val="0"/>
            <w:szCs w:val="24"/>
          </w:rPr>
          <w:t>Commissioner’s Policy Statement 2012/03: Decision-making</w:t>
        </w:r>
      </w:hyperlink>
      <w:r w:rsidRPr="00FE1A0B">
        <w:rPr>
          <w:b w:val="0"/>
          <w:bCs w:val="0"/>
          <w:i w:val="0"/>
          <w:iCs w:val="0"/>
          <w:color w:val="auto"/>
          <w:szCs w:val="24"/>
        </w:rPr>
        <w:t xml:space="preserve">, which sets out how the ACNC will ensure high quality decision-making, promote consistency in decisions and to inform the public about how </w:t>
      </w:r>
      <w:r w:rsidR="00787A64">
        <w:rPr>
          <w:b w:val="0"/>
          <w:bCs w:val="0"/>
          <w:i w:val="0"/>
          <w:iCs w:val="0"/>
          <w:color w:val="auto"/>
          <w:szCs w:val="24"/>
        </w:rPr>
        <w:t xml:space="preserve">the ACNC makes decisions. </w:t>
      </w:r>
    </w:p>
    <w:p w14:paraId="0F925B9C" w14:textId="77777777" w:rsidR="00FE1A0B" w:rsidRPr="00AE4ADD" w:rsidRDefault="00787A64" w:rsidP="00BB2187">
      <w:pPr>
        <w:pStyle w:val="Heading4"/>
        <w:numPr>
          <w:ilvl w:val="0"/>
          <w:numId w:val="8"/>
        </w:numPr>
        <w:rPr>
          <w:b w:val="0"/>
          <w:bCs w:val="0"/>
          <w:i w:val="0"/>
          <w:iCs w:val="0"/>
          <w:color w:val="auto"/>
          <w:szCs w:val="24"/>
        </w:rPr>
      </w:pPr>
      <w:r w:rsidRPr="00AE4ADD">
        <w:rPr>
          <w:b w:val="0"/>
          <w:bCs w:val="0"/>
          <w:i w:val="0"/>
          <w:iCs w:val="0"/>
          <w:color w:val="auto"/>
          <w:szCs w:val="24"/>
        </w:rPr>
        <w:t xml:space="preserve">The ACNC </w:t>
      </w:r>
      <w:r w:rsidR="00FE1A0B" w:rsidRPr="00AE4ADD">
        <w:rPr>
          <w:b w:val="0"/>
          <w:bCs w:val="0"/>
          <w:i w:val="0"/>
          <w:iCs w:val="0"/>
          <w:color w:val="auto"/>
          <w:szCs w:val="24"/>
        </w:rPr>
        <w:t>undertakes quality assurance processes</w:t>
      </w:r>
      <w:r w:rsidRPr="00AE4ADD">
        <w:rPr>
          <w:b w:val="0"/>
          <w:bCs w:val="0"/>
          <w:i w:val="0"/>
          <w:iCs w:val="0"/>
          <w:color w:val="auto"/>
          <w:szCs w:val="24"/>
        </w:rPr>
        <w:t xml:space="preserve"> in relation to our decision</w:t>
      </w:r>
      <w:r w:rsidR="00AE4ADD" w:rsidRPr="00AE4ADD">
        <w:rPr>
          <w:b w:val="0"/>
          <w:bCs w:val="0"/>
          <w:i w:val="0"/>
          <w:iCs w:val="0"/>
          <w:color w:val="auto"/>
          <w:szCs w:val="24"/>
        </w:rPr>
        <w:t>s</w:t>
      </w:r>
      <w:r w:rsidR="00AE4ADD">
        <w:rPr>
          <w:b w:val="0"/>
          <w:bCs w:val="0"/>
          <w:i w:val="0"/>
          <w:iCs w:val="0"/>
          <w:color w:val="auto"/>
          <w:szCs w:val="24"/>
        </w:rPr>
        <w:t xml:space="preserve">. To ensure consistency, </w:t>
      </w:r>
      <w:r w:rsidR="00AE4ADD" w:rsidRPr="00AE4ADD">
        <w:rPr>
          <w:b w:val="0"/>
          <w:bCs w:val="0"/>
          <w:i w:val="0"/>
          <w:iCs w:val="0"/>
          <w:color w:val="auto"/>
          <w:szCs w:val="24"/>
        </w:rPr>
        <w:t xml:space="preserve">ACNC administrative decision makers consult with </w:t>
      </w:r>
      <w:r w:rsidR="00AE4ADD">
        <w:rPr>
          <w:b w:val="0"/>
          <w:bCs w:val="0"/>
          <w:i w:val="0"/>
          <w:iCs w:val="0"/>
          <w:color w:val="auto"/>
          <w:szCs w:val="24"/>
        </w:rPr>
        <w:t xml:space="preserve">the ACNC’s </w:t>
      </w:r>
      <w:r w:rsidR="00191C4D">
        <w:rPr>
          <w:b w:val="0"/>
          <w:bCs w:val="0"/>
          <w:i w:val="0"/>
          <w:iCs w:val="0"/>
          <w:color w:val="auto"/>
          <w:szCs w:val="24"/>
        </w:rPr>
        <w:t>L</w:t>
      </w:r>
      <w:r w:rsidR="00191C4D" w:rsidRPr="00AE4ADD">
        <w:rPr>
          <w:b w:val="0"/>
          <w:bCs w:val="0"/>
          <w:i w:val="0"/>
          <w:iCs w:val="0"/>
          <w:color w:val="auto"/>
          <w:szCs w:val="24"/>
        </w:rPr>
        <w:t>egal</w:t>
      </w:r>
      <w:r w:rsidR="00AE4ADD" w:rsidRPr="00AE4ADD">
        <w:rPr>
          <w:b w:val="0"/>
          <w:bCs w:val="0"/>
          <w:i w:val="0"/>
          <w:iCs w:val="0"/>
          <w:color w:val="auto"/>
          <w:szCs w:val="24"/>
        </w:rPr>
        <w:t xml:space="preserve"> Counsel as required</w:t>
      </w:r>
      <w:r w:rsidR="00FE1A0B" w:rsidRPr="00AE4ADD">
        <w:rPr>
          <w:b w:val="0"/>
          <w:bCs w:val="0"/>
          <w:i w:val="0"/>
          <w:iCs w:val="0"/>
          <w:color w:val="auto"/>
          <w:szCs w:val="24"/>
        </w:rPr>
        <w:t>.</w:t>
      </w:r>
      <w:r w:rsidR="00AE4ADD">
        <w:rPr>
          <w:b w:val="0"/>
          <w:bCs w:val="0"/>
          <w:i w:val="0"/>
          <w:iCs w:val="0"/>
          <w:color w:val="auto"/>
          <w:szCs w:val="24"/>
        </w:rPr>
        <w:t xml:space="preserve"> </w:t>
      </w:r>
    </w:p>
    <w:p w14:paraId="7CD121B8" w14:textId="77777777" w:rsidR="004B0D8D" w:rsidRDefault="00AE4ADD" w:rsidP="00EA6265">
      <w:pPr>
        <w:pStyle w:val="ListParagraph"/>
        <w:numPr>
          <w:ilvl w:val="0"/>
          <w:numId w:val="8"/>
        </w:numPr>
        <w:ind w:left="357" w:hanging="357"/>
        <w:contextualSpacing w:val="0"/>
        <w:rPr>
          <w:rFonts w:eastAsia="Times New Roman"/>
          <w:szCs w:val="24"/>
        </w:rPr>
      </w:pPr>
      <w:r w:rsidRPr="00AE4ADD">
        <w:rPr>
          <w:rFonts w:eastAsia="Times New Roman"/>
          <w:szCs w:val="24"/>
        </w:rPr>
        <w:t>In 2017-18, t</w:t>
      </w:r>
      <w:r w:rsidR="00B26BE5" w:rsidRPr="00AE4ADD">
        <w:rPr>
          <w:rFonts w:eastAsia="Times New Roman"/>
          <w:szCs w:val="24"/>
        </w:rPr>
        <w:t xml:space="preserve">he ACNC’s legal team </w:t>
      </w:r>
      <w:r w:rsidRPr="00AE4ADD">
        <w:rPr>
          <w:rFonts w:eastAsia="Times New Roman"/>
          <w:szCs w:val="24"/>
        </w:rPr>
        <w:t xml:space="preserve">also </w:t>
      </w:r>
      <w:r w:rsidR="00B26BE5" w:rsidRPr="00AE4ADD">
        <w:rPr>
          <w:rFonts w:eastAsia="Times New Roman"/>
          <w:szCs w:val="24"/>
        </w:rPr>
        <w:t>conducted decision-making training for staff at the ACNC</w:t>
      </w:r>
      <w:r w:rsidR="004B0D8D" w:rsidRPr="00AE4ADD">
        <w:rPr>
          <w:rFonts w:eastAsia="Times New Roman"/>
          <w:szCs w:val="24"/>
        </w:rPr>
        <w:t>.</w:t>
      </w:r>
    </w:p>
    <w:p w14:paraId="7E079CEE" w14:textId="77777777" w:rsidR="003A08BF" w:rsidRPr="00AE4ADD" w:rsidRDefault="003A08BF" w:rsidP="00A85346">
      <w:pPr>
        <w:pStyle w:val="ListParagraph"/>
        <w:numPr>
          <w:ilvl w:val="0"/>
          <w:numId w:val="8"/>
        </w:numPr>
        <w:rPr>
          <w:rFonts w:eastAsia="Times New Roman"/>
          <w:szCs w:val="24"/>
        </w:rPr>
      </w:pPr>
      <w:r w:rsidRPr="00F1056A">
        <w:t xml:space="preserve">On 4 December 2017, the Administrative Appeals Tribunal affirmed the decision of the ACNC that Waubra Foundation was not entitled to be registered as a health promotion charity or a charity with a purpose of promoting or protecting human rights.  </w:t>
      </w:r>
    </w:p>
    <w:p w14:paraId="051C57DE" w14:textId="77777777" w:rsidR="00F16460" w:rsidRDefault="00AC4DE5" w:rsidP="00FE1A0B">
      <w:pPr>
        <w:spacing w:after="0"/>
      </w:pPr>
      <w:r>
        <w:rPr>
          <w:rFonts w:eastAsia="Calibri"/>
          <w:noProof/>
          <w:lang w:eastAsia="en-AU"/>
        </w:rPr>
        <mc:AlternateContent>
          <mc:Choice Requires="wps">
            <w:drawing>
              <wp:anchor distT="0" distB="0" distL="114300" distR="114300" simplePos="0" relativeHeight="251624960" behindDoc="0" locked="0" layoutInCell="1" allowOverlap="1" wp14:anchorId="09E8FD07" wp14:editId="4A3FAC3E">
                <wp:simplePos x="0" y="0"/>
                <wp:positionH relativeFrom="column">
                  <wp:posOffset>-77470</wp:posOffset>
                </wp:positionH>
                <wp:positionV relativeFrom="paragraph">
                  <wp:posOffset>120016</wp:posOffset>
                </wp:positionV>
                <wp:extent cx="6124575" cy="1276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124575" cy="1276350"/>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D46C8" id="Rectangle 5" o:spid="_x0000_s1026" style="position:absolute;margin-left:-6.1pt;margin-top:9.45pt;width:482.25pt;height:10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" filled="f" strokecolor="#385d8a" strokeweight="1.25pt"/>
            </w:pict>
          </mc:Fallback>
        </mc:AlternateContent>
      </w:r>
    </w:p>
    <w:p w14:paraId="2B638770" w14:textId="77777777" w:rsidR="007E129F" w:rsidRDefault="007E129F" w:rsidP="00F16460">
      <w:pPr>
        <w:rPr>
          <w:rFonts w:eastAsia="Calibri"/>
        </w:rPr>
      </w:pPr>
      <w:r w:rsidRPr="002662BA">
        <w:rPr>
          <w:rFonts w:eastAsia="Calibri"/>
          <w:u w:val="single"/>
        </w:rPr>
        <w:t>Overall assessment:</w:t>
      </w:r>
      <w:r>
        <w:rPr>
          <w:rFonts w:eastAsia="Calibri"/>
        </w:rPr>
        <w:t xml:space="preserve"> </w:t>
      </w:r>
      <w:r w:rsidR="00C6331A" w:rsidRPr="00C6331A">
        <w:rPr>
          <w:rFonts w:eastAsia="Calibri"/>
          <w:b/>
        </w:rPr>
        <w:t>Very</w:t>
      </w:r>
      <w:r>
        <w:rPr>
          <w:rFonts w:eastAsia="Calibri"/>
          <w:b/>
        </w:rPr>
        <w:t xml:space="preserve"> </w:t>
      </w:r>
      <w:r w:rsidR="00ED7865">
        <w:rPr>
          <w:rFonts w:eastAsia="Calibri"/>
          <w:b/>
        </w:rPr>
        <w:t xml:space="preserve">Good </w:t>
      </w:r>
    </w:p>
    <w:p w14:paraId="244F9879" w14:textId="77777777" w:rsidR="007E129F" w:rsidRDefault="00FC2768" w:rsidP="00F16460">
      <w:pPr>
        <w:rPr>
          <w:rFonts w:eastAsia="Calibri"/>
        </w:rPr>
      </w:pPr>
      <w:r>
        <w:rPr>
          <w:rFonts w:eastAsia="Calibri"/>
          <w:u w:val="single"/>
        </w:rPr>
        <w:t>Key a</w:t>
      </w:r>
      <w:r w:rsidR="007E129F" w:rsidRPr="002662BA">
        <w:rPr>
          <w:rFonts w:eastAsia="Calibri"/>
          <w:u w:val="single"/>
        </w:rPr>
        <w:t>reas for improvement:</w:t>
      </w:r>
      <w:r w:rsidR="007E129F">
        <w:rPr>
          <w:rFonts w:eastAsia="Calibri"/>
        </w:rPr>
        <w:t xml:space="preserve"> </w:t>
      </w:r>
    </w:p>
    <w:p w14:paraId="1C992A0F" w14:textId="633F32D6" w:rsidR="00A85346" w:rsidRDefault="00AF54D2" w:rsidP="00B26BE5">
      <w:pPr>
        <w:pStyle w:val="ListParagraph"/>
        <w:numPr>
          <w:ilvl w:val="0"/>
          <w:numId w:val="9"/>
        </w:numPr>
        <w:rPr>
          <w:rFonts w:eastAsia="Calibri"/>
        </w:rPr>
      </w:pPr>
      <w:r>
        <w:rPr>
          <w:rFonts w:eastAsia="Calibri"/>
        </w:rPr>
        <w:t>I</w:t>
      </w:r>
      <w:r w:rsidRPr="00FC2768">
        <w:rPr>
          <w:rFonts w:eastAsia="Calibri"/>
        </w:rPr>
        <w:t>mprov</w:t>
      </w:r>
      <w:r>
        <w:rPr>
          <w:rFonts w:eastAsia="Calibri"/>
        </w:rPr>
        <w:t>ing</w:t>
      </w:r>
      <w:r w:rsidRPr="00FC2768">
        <w:rPr>
          <w:rFonts w:eastAsia="Calibri"/>
        </w:rPr>
        <w:t xml:space="preserve"> </w:t>
      </w:r>
      <w:r w:rsidR="00FC2768" w:rsidRPr="00FC2768">
        <w:rPr>
          <w:rFonts w:eastAsia="Calibri"/>
        </w:rPr>
        <w:t>accessibility of web content</w:t>
      </w:r>
      <w:r w:rsidR="0084572A">
        <w:rPr>
          <w:rFonts w:eastAsia="Calibri"/>
        </w:rPr>
        <w:t xml:space="preserve"> towards 100</w:t>
      </w:r>
      <w:r w:rsidR="00B9400D">
        <w:rPr>
          <w:rFonts w:eastAsia="Calibri"/>
        </w:rPr>
        <w:t xml:space="preserve"> per cent</w:t>
      </w:r>
      <w:r w:rsidR="0084572A">
        <w:rPr>
          <w:rFonts w:eastAsia="Calibri"/>
        </w:rPr>
        <w:t xml:space="preserve"> compliance with the </w:t>
      </w:r>
      <w:r w:rsidR="0084572A" w:rsidRPr="0084572A">
        <w:rPr>
          <w:rFonts w:eastAsia="Calibri"/>
        </w:rPr>
        <w:t>Web Content Accessibility Guidelines Version 2.0</w:t>
      </w:r>
    </w:p>
    <w:p w14:paraId="3AEF3B98" w14:textId="026B7C5B" w:rsidR="00FC2768" w:rsidRPr="00A85346" w:rsidRDefault="00AF54D2" w:rsidP="00B26BE5">
      <w:pPr>
        <w:pStyle w:val="ListParagraph"/>
        <w:numPr>
          <w:ilvl w:val="0"/>
          <w:numId w:val="9"/>
        </w:numPr>
        <w:rPr>
          <w:rFonts w:eastAsia="Calibri"/>
        </w:rPr>
      </w:pPr>
      <w:r>
        <w:rPr>
          <w:rFonts w:eastAsia="Calibri"/>
        </w:rPr>
        <w:t>C</w:t>
      </w:r>
      <w:r w:rsidRPr="00A85346">
        <w:rPr>
          <w:rFonts w:eastAsia="Calibri"/>
        </w:rPr>
        <w:t>ontinu</w:t>
      </w:r>
      <w:r>
        <w:rPr>
          <w:rFonts w:eastAsia="Calibri"/>
        </w:rPr>
        <w:t>ing</w:t>
      </w:r>
      <w:r w:rsidRPr="00A85346">
        <w:rPr>
          <w:rFonts w:eastAsia="Calibri"/>
        </w:rPr>
        <w:t xml:space="preserve"> </w:t>
      </w:r>
      <w:r w:rsidR="00A85346" w:rsidRPr="00A85346">
        <w:rPr>
          <w:rFonts w:eastAsia="Calibri"/>
        </w:rPr>
        <w:t>to improve communication with charities through refining guidance and tailoring emails</w:t>
      </w:r>
      <w:r w:rsidR="007406DB">
        <w:rPr>
          <w:rFonts w:eastAsia="Calibri"/>
        </w:rPr>
        <w:t>.</w:t>
      </w:r>
    </w:p>
    <w:p w14:paraId="06CE0E43" w14:textId="77777777" w:rsidR="00066896" w:rsidRDefault="00066896">
      <w:pPr>
        <w:spacing w:after="0"/>
        <w:rPr>
          <w:rFonts w:ascii="Arial Bold" w:hAnsi="Arial Bold"/>
          <w:b/>
          <w:bCs/>
          <w:iCs/>
          <w:color w:val="2C7890"/>
          <w:sz w:val="28"/>
          <w:szCs w:val="28"/>
          <w:lang w:eastAsia="en-AU"/>
        </w:rPr>
      </w:pPr>
      <w:bookmarkStart w:id="22" w:name="_Toc464053926"/>
    </w:p>
    <w:p w14:paraId="2A05E43A" w14:textId="77777777" w:rsidR="005A5A1C" w:rsidRDefault="005A5A1C">
      <w:pPr>
        <w:spacing w:after="0"/>
        <w:rPr>
          <w:rFonts w:ascii="Arial Bold" w:hAnsi="Arial Bold"/>
          <w:b/>
          <w:bCs/>
          <w:iCs/>
          <w:color w:val="2C7890"/>
          <w:sz w:val="28"/>
          <w:szCs w:val="28"/>
          <w:lang w:eastAsia="en-AU"/>
        </w:rPr>
      </w:pPr>
    </w:p>
    <w:p w14:paraId="3F114E47" w14:textId="77777777" w:rsidR="00BC6E81" w:rsidRPr="00DE4169" w:rsidRDefault="00BC6E81" w:rsidP="00DE4169">
      <w:pPr>
        <w:pStyle w:val="Heading2"/>
      </w:pPr>
      <w:bookmarkStart w:id="23" w:name="_Toc521594131"/>
      <w:r w:rsidRPr="00DE4169">
        <w:lastRenderedPageBreak/>
        <w:t>KPI 3 – Actions undertaken by regulators are proportionate to the regulatory risk being managed</w:t>
      </w:r>
      <w:bookmarkEnd w:id="22"/>
      <w:bookmarkEnd w:id="23"/>
    </w:p>
    <w:p w14:paraId="15F4BF08"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3A </w:t>
      </w:r>
      <w:r w:rsidRPr="0026276B">
        <w:rPr>
          <w:rFonts w:cs="Calibri"/>
          <w:b/>
          <w:sz w:val="20"/>
          <w:szCs w:val="20"/>
          <w:lang w:eastAsia="en-AU"/>
        </w:rPr>
        <w:t xml:space="preserve">Regulators apply a risk-based, proportionate approach to compliance obligations, engagement and regulatory enforcement actions. </w:t>
      </w:r>
    </w:p>
    <w:p w14:paraId="69514316"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3B </w:t>
      </w:r>
      <w:r w:rsidRPr="0026276B">
        <w:rPr>
          <w:rFonts w:cs="Calibri"/>
          <w:b/>
          <w:sz w:val="20"/>
          <w:szCs w:val="20"/>
          <w:lang w:eastAsia="en-AU"/>
        </w:rPr>
        <w:t>Regulators’ preferred approach to regulatory risk is regularly reassessed. Strategies, activities and enforcement actions are amended to reflect changing priorities that result from new and evolving regulatory threats, without diminishing regulatory certainty or impact.</w:t>
      </w:r>
    </w:p>
    <w:p w14:paraId="6D879122" w14:textId="77777777" w:rsid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3C </w:t>
      </w:r>
      <w:r w:rsidRPr="0026276B">
        <w:rPr>
          <w:rFonts w:cs="Calibri"/>
          <w:b/>
          <w:sz w:val="20"/>
          <w:szCs w:val="20"/>
          <w:lang w:eastAsia="en-AU"/>
        </w:rPr>
        <w:t>Regulators recognise the compliance record of regulated entities, including using earned autonomy where this is appropriate. All available and relevant data on compliance, including evidence of relevant external verification is considered.</w:t>
      </w:r>
    </w:p>
    <w:p w14:paraId="04D7C602" w14:textId="77777777" w:rsidR="0002444A" w:rsidRPr="00FE7123" w:rsidRDefault="00FE7123" w:rsidP="00FE7123">
      <w:pPr>
        <w:pStyle w:val="Heading4"/>
        <w:spacing w:before="240"/>
      </w:pPr>
      <w:r>
        <w:t>R</w:t>
      </w:r>
      <w:r w:rsidR="0002444A" w:rsidRPr="00FE7123">
        <w:t xml:space="preserve">isk-based, proportionate approach to </w:t>
      </w:r>
      <w:r w:rsidR="008113BB">
        <w:t>compliance and enforcement</w:t>
      </w:r>
    </w:p>
    <w:p w14:paraId="64D3E98E" w14:textId="77777777" w:rsidR="00D878EC" w:rsidRDefault="00870AFE" w:rsidP="00A85346">
      <w:pPr>
        <w:pStyle w:val="ListParagraph"/>
        <w:numPr>
          <w:ilvl w:val="0"/>
          <w:numId w:val="8"/>
        </w:numPr>
        <w:ind w:left="357" w:hanging="357"/>
        <w:contextualSpacing w:val="0"/>
      </w:pPr>
      <w:r>
        <w:t xml:space="preserve">As highlighted in paragraph </w:t>
      </w:r>
      <w:r w:rsidR="0003410C">
        <w:fldChar w:fldCharType="begin"/>
      </w:r>
      <w:r w:rsidR="0003410C">
        <w:instrText xml:space="preserve"> REF _Ref520053911 \r \h </w:instrText>
      </w:r>
      <w:r w:rsidR="0003410C">
        <w:fldChar w:fldCharType="separate"/>
      </w:r>
      <w:r w:rsidR="00AE14E2">
        <w:t>27</w:t>
      </w:r>
      <w:r w:rsidR="0003410C">
        <w:fldChar w:fldCharType="end"/>
      </w:r>
      <w:r>
        <w:t>, t</w:t>
      </w:r>
      <w:r w:rsidR="003309D9" w:rsidRPr="003309D9">
        <w:t xml:space="preserve">he ACNC uses a risk-based approach to allocate its compliance resources to address concerns that present the greatest risk to trust and confidence in the sector.  Our proportionate approach to compliance provides charities a chance to address concerns whilst dealing with cases of serious misconduct quickly and firmly. </w:t>
      </w:r>
    </w:p>
    <w:p w14:paraId="30B3DA95" w14:textId="77777777" w:rsidR="00A85346" w:rsidRPr="007406DB" w:rsidRDefault="00A85346" w:rsidP="00A85346">
      <w:pPr>
        <w:pStyle w:val="ListParagraph"/>
        <w:numPr>
          <w:ilvl w:val="0"/>
          <w:numId w:val="8"/>
        </w:numPr>
        <w:spacing w:before="120"/>
        <w:ind w:left="357" w:hanging="357"/>
        <w:contextualSpacing w:val="0"/>
      </w:pPr>
      <w:r w:rsidRPr="00A85346">
        <w:t xml:space="preserve">The ACNC remains committed </w:t>
      </w:r>
      <w:r w:rsidR="00843A77">
        <w:t xml:space="preserve">to </w:t>
      </w:r>
      <w:r w:rsidR="002A6379">
        <w:t>assisting</w:t>
      </w:r>
      <w:r w:rsidRPr="00A85346">
        <w:t xml:space="preserve"> genuine charities </w:t>
      </w:r>
      <w:r w:rsidR="002A6379">
        <w:t>with governance issues</w:t>
      </w:r>
      <w:r w:rsidRPr="00A85346">
        <w:t xml:space="preserve">.  When charities' activities are placing them at risk of breaching the ACNC Act or Regulation, we will often address these matters through the provision of targeted </w:t>
      </w:r>
      <w:r w:rsidRPr="007406DB">
        <w:t>regulatory advice.  The regulatory advice reminds charities of their obligations, the expectations of the ACNC and may suggest some process or policy changes to prevent future non-compliance.  In 2017-18</w:t>
      </w:r>
      <w:r w:rsidR="0003410C" w:rsidRPr="007406DB">
        <w:t>,</w:t>
      </w:r>
      <w:r w:rsidRPr="007406DB">
        <w:t xml:space="preserve"> the ACNC provided 28 charities with regulatory advice.</w:t>
      </w:r>
    </w:p>
    <w:p w14:paraId="7ED5527A" w14:textId="708E5126" w:rsidR="00A85346" w:rsidRPr="007406DB" w:rsidRDefault="00A85346" w:rsidP="00A85346">
      <w:pPr>
        <w:pStyle w:val="ListParagraph"/>
        <w:numPr>
          <w:ilvl w:val="0"/>
          <w:numId w:val="8"/>
        </w:numPr>
        <w:spacing w:before="120"/>
        <w:contextualSpacing w:val="0"/>
      </w:pPr>
      <w:r w:rsidRPr="007406DB">
        <w:t>Where a charity’s non-compliance is significant but the ACNC determines that the charity’s responsible persons are willing and able to correct matters, the ACNC’s response may involve a compliance agreement or enforceable undertaking. These are effectively action plans for the charity, and the ACNC monitors the charity’s progress to ensure all measures have been implemented. In 2017-18</w:t>
      </w:r>
      <w:r w:rsidR="0003410C" w:rsidRPr="007406DB">
        <w:t>,</w:t>
      </w:r>
      <w:r w:rsidRPr="007406DB">
        <w:t xml:space="preserve"> the ACNC entered into 16 compliance agreements, </w:t>
      </w:r>
      <w:r w:rsidR="002A6379">
        <w:t>three</w:t>
      </w:r>
      <w:r w:rsidR="002A6379" w:rsidRPr="007406DB">
        <w:t xml:space="preserve"> </w:t>
      </w:r>
      <w:r w:rsidRPr="007406DB">
        <w:t xml:space="preserve">enforceable undertakings and </w:t>
      </w:r>
      <w:r w:rsidR="002A6379">
        <w:t xml:space="preserve">three </w:t>
      </w:r>
      <w:r w:rsidRPr="007406DB">
        <w:t xml:space="preserve">directions.  </w:t>
      </w:r>
    </w:p>
    <w:p w14:paraId="58CA160B" w14:textId="77777777" w:rsidR="0002444A" w:rsidRPr="00FE7123" w:rsidRDefault="00FE7123" w:rsidP="00FE7123">
      <w:pPr>
        <w:pStyle w:val="Heading4"/>
      </w:pPr>
      <w:r>
        <w:t>T</w:t>
      </w:r>
      <w:r w:rsidR="0002444A" w:rsidRPr="00FE7123">
        <w:t>he approach to regulatory risk is regularly reassessed and improved</w:t>
      </w:r>
    </w:p>
    <w:p w14:paraId="5BBC8A6C" w14:textId="77777777" w:rsidR="00AE37BD" w:rsidRPr="00A322AC" w:rsidRDefault="005A5A1C" w:rsidP="00A322AC">
      <w:pPr>
        <w:pStyle w:val="ListParagraph"/>
        <w:numPr>
          <w:ilvl w:val="0"/>
          <w:numId w:val="8"/>
        </w:numPr>
      </w:pPr>
      <w:r w:rsidRPr="00A322AC">
        <w:t xml:space="preserve">The ACNC’s </w:t>
      </w:r>
      <w:hyperlink r:id="rId34" w:history="1">
        <w:r w:rsidRPr="000177B3">
          <w:rPr>
            <w:rStyle w:val="Hyperlink"/>
          </w:rPr>
          <w:t>Regulatory Approach Statement</w:t>
        </w:r>
      </w:hyperlink>
      <w:r w:rsidRPr="00A322AC">
        <w:t xml:space="preserve"> </w:t>
      </w:r>
      <w:r w:rsidR="00A322AC" w:rsidRPr="00A322AC">
        <w:t xml:space="preserve">(which guides our approach to charity regulation) </w:t>
      </w:r>
      <w:r w:rsidRPr="00A322AC">
        <w:t xml:space="preserve">was last reviewed in 2015-16. </w:t>
      </w:r>
      <w:r w:rsidR="00A322AC" w:rsidRPr="00A322AC">
        <w:t xml:space="preserve">We are currently reviewing the </w:t>
      </w:r>
      <w:r w:rsidR="00AE37BD" w:rsidRPr="00A322AC">
        <w:t>ACNC</w:t>
      </w:r>
      <w:r w:rsidR="00A322AC" w:rsidRPr="00A322AC">
        <w:t xml:space="preserve">’s </w:t>
      </w:r>
      <w:hyperlink r:id="rId35" w:history="1">
        <w:r w:rsidR="00AE37BD" w:rsidRPr="000177B3">
          <w:rPr>
            <w:rStyle w:val="Hyperlink"/>
          </w:rPr>
          <w:t>Regulatory Approach</w:t>
        </w:r>
        <w:r w:rsidR="00A322AC" w:rsidRPr="000177B3">
          <w:rPr>
            <w:rStyle w:val="Hyperlink"/>
          </w:rPr>
          <w:t xml:space="preserve"> Statement</w:t>
        </w:r>
      </w:hyperlink>
      <w:r w:rsidR="00A322AC" w:rsidRPr="00A322AC">
        <w:t xml:space="preserve"> </w:t>
      </w:r>
      <w:r w:rsidR="00AE37BD" w:rsidRPr="00A322AC">
        <w:t xml:space="preserve">to ensure that </w:t>
      </w:r>
      <w:r w:rsidR="00A322AC" w:rsidRPr="00A322AC">
        <w:t>it</w:t>
      </w:r>
      <w:r w:rsidR="00AE37BD" w:rsidRPr="00A322AC">
        <w:t xml:space="preserve"> remains current, relevant and fit-for-purpose.</w:t>
      </w:r>
      <w:r w:rsidR="00900844" w:rsidRPr="00A322AC">
        <w:t xml:space="preserve"> </w:t>
      </w:r>
    </w:p>
    <w:p w14:paraId="6B1736AF" w14:textId="77777777" w:rsidR="0002444A" w:rsidRPr="00FE7123" w:rsidRDefault="00FE7123" w:rsidP="00FE7123">
      <w:pPr>
        <w:pStyle w:val="Heading4"/>
      </w:pPr>
      <w:r>
        <w:t>C</w:t>
      </w:r>
      <w:r w:rsidR="0002444A" w:rsidRPr="00FE7123">
        <w:t>onsideration of available compliance data and recognition of compliance history</w:t>
      </w:r>
    </w:p>
    <w:p w14:paraId="7499D587" w14:textId="6F27D966" w:rsidR="00AE4ADD" w:rsidRPr="008F3AD2" w:rsidRDefault="00AE37BD" w:rsidP="006C71B7">
      <w:pPr>
        <w:pStyle w:val="ListParagraph"/>
        <w:numPr>
          <w:ilvl w:val="0"/>
          <w:numId w:val="8"/>
        </w:numPr>
        <w:contextualSpacing w:val="0"/>
      </w:pPr>
      <w:r w:rsidRPr="008F3AD2">
        <w:t xml:space="preserve">As articulated in the ACNC’s </w:t>
      </w:r>
      <w:hyperlink r:id="rId36" w:history="1">
        <w:r w:rsidRPr="000177B3">
          <w:rPr>
            <w:rStyle w:val="Hyperlink"/>
          </w:rPr>
          <w:t>Regulatory Approach Statement</w:t>
        </w:r>
      </w:hyperlink>
      <w:r w:rsidRPr="008F3AD2">
        <w:t xml:space="preserve"> and</w:t>
      </w:r>
      <w:r w:rsidR="00250070">
        <w:t xml:space="preserve"> the</w:t>
      </w:r>
      <w:r w:rsidRPr="008F3AD2">
        <w:t xml:space="preserve"> </w:t>
      </w:r>
      <w:r w:rsidR="006C71B7" w:rsidRPr="006C71B7">
        <w:rPr>
          <w:szCs w:val="24"/>
        </w:rPr>
        <w:t>Commissioner’s Policy Statement: Compliance and enforcement</w:t>
      </w:r>
      <w:r w:rsidRPr="008F3AD2">
        <w:t xml:space="preserve">, the ACNC considers the prior record of a charity and information from previous investigations in its risk assessments. </w:t>
      </w:r>
    </w:p>
    <w:p w14:paraId="4CA182EB" w14:textId="66CC1843" w:rsidR="00AE37BD" w:rsidRPr="008F3AD2" w:rsidRDefault="00870AFE" w:rsidP="008F3AD2">
      <w:pPr>
        <w:pStyle w:val="ListParagraph"/>
        <w:numPr>
          <w:ilvl w:val="0"/>
          <w:numId w:val="8"/>
        </w:numPr>
        <w:spacing w:before="120" w:after="0"/>
        <w:ind w:left="357" w:hanging="357"/>
        <w:contextualSpacing w:val="0"/>
      </w:pPr>
      <w:r w:rsidRPr="008F3AD2">
        <w:t>The ACNC is increasingly analysing its own data holdings as well as working with other regulators and law-enforcement agencies</w:t>
      </w:r>
      <w:r w:rsidR="0003410C" w:rsidRPr="008F3AD2">
        <w:t xml:space="preserve"> (refer to paragraphs </w:t>
      </w:r>
      <w:r w:rsidR="0003410C" w:rsidRPr="008F3AD2">
        <w:fldChar w:fldCharType="begin"/>
      </w:r>
      <w:r w:rsidR="0003410C" w:rsidRPr="008F3AD2">
        <w:instrText xml:space="preserve"> REF _Ref520054243 \r \h </w:instrText>
      </w:r>
      <w:r w:rsidR="008F3AD2" w:rsidRPr="008F3AD2">
        <w:instrText xml:space="preserve"> \* MERGEFORMAT </w:instrText>
      </w:r>
      <w:r w:rsidR="0003410C" w:rsidRPr="008F3AD2">
        <w:fldChar w:fldCharType="separate"/>
      </w:r>
      <w:r w:rsidR="00AE14E2">
        <w:t>68</w:t>
      </w:r>
      <w:r w:rsidR="0003410C" w:rsidRPr="008F3AD2">
        <w:fldChar w:fldCharType="end"/>
      </w:r>
      <w:r w:rsidR="0003410C" w:rsidRPr="008F3AD2">
        <w:t>-</w:t>
      </w:r>
      <w:r w:rsidR="0003410C" w:rsidRPr="008F3AD2">
        <w:fldChar w:fldCharType="begin"/>
      </w:r>
      <w:r w:rsidR="0003410C" w:rsidRPr="008F3AD2">
        <w:instrText xml:space="preserve"> REF _Ref520054246 \r \h </w:instrText>
      </w:r>
      <w:r w:rsidR="008F3AD2" w:rsidRPr="008F3AD2">
        <w:instrText xml:space="preserve"> \* MERGEFORMAT </w:instrText>
      </w:r>
      <w:r w:rsidR="0003410C" w:rsidRPr="008F3AD2">
        <w:fldChar w:fldCharType="separate"/>
      </w:r>
      <w:r w:rsidR="00AE14E2">
        <w:t>69</w:t>
      </w:r>
      <w:r w:rsidR="0003410C" w:rsidRPr="008F3AD2">
        <w:fldChar w:fldCharType="end"/>
      </w:r>
      <w:r w:rsidR="0003410C" w:rsidRPr="008F3AD2">
        <w:t>)</w:t>
      </w:r>
      <w:r w:rsidRPr="008F3AD2">
        <w:t xml:space="preserve"> to proactively identify risk and prevent harm from occurring. This year, 22 per cent of the cases considered by</w:t>
      </w:r>
      <w:r w:rsidR="0003410C" w:rsidRPr="008F3AD2">
        <w:t xml:space="preserve"> our </w:t>
      </w:r>
      <w:r w:rsidR="00736D5F">
        <w:t>C</w:t>
      </w:r>
      <w:r w:rsidR="0003410C" w:rsidRPr="008F3AD2">
        <w:t xml:space="preserve">ompliance </w:t>
      </w:r>
      <w:r w:rsidR="00CF00E6">
        <w:t xml:space="preserve">team </w:t>
      </w:r>
      <w:r w:rsidRPr="008F3AD2">
        <w:t xml:space="preserve">were identified through our own data-matching work.  In 2018-19, </w:t>
      </w:r>
      <w:r w:rsidR="0003410C" w:rsidRPr="008F3AD2">
        <w:t xml:space="preserve">we will continue to expand our own data holdings, which will assist us in proactively identifying compliance issues. </w:t>
      </w:r>
    </w:p>
    <w:p w14:paraId="6B285A58" w14:textId="77777777" w:rsidR="00AC4DE5" w:rsidRDefault="00AC4DE5" w:rsidP="00AC4DE5">
      <w:pPr>
        <w:spacing w:after="0"/>
      </w:pPr>
      <w:r>
        <w:rPr>
          <w:rFonts w:eastAsia="Calibri"/>
          <w:noProof/>
          <w:lang w:eastAsia="en-AU"/>
        </w:rPr>
        <mc:AlternateContent>
          <mc:Choice Requires="wps">
            <w:drawing>
              <wp:anchor distT="0" distB="0" distL="114300" distR="114300" simplePos="0" relativeHeight="251629056" behindDoc="0" locked="0" layoutInCell="1" allowOverlap="1" wp14:anchorId="07BF90EE" wp14:editId="5B27BC19">
                <wp:simplePos x="0" y="0"/>
                <wp:positionH relativeFrom="column">
                  <wp:posOffset>-48895</wp:posOffset>
                </wp:positionH>
                <wp:positionV relativeFrom="paragraph">
                  <wp:posOffset>122555</wp:posOffset>
                </wp:positionV>
                <wp:extent cx="6229350" cy="1514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29350" cy="1514475"/>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65A6" id="Rectangle 6" o:spid="_x0000_s1026" style="position:absolute;margin-left:-3.85pt;margin-top:9.65pt;width:490.5pt;height:119.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" filled="f" strokecolor="#385d8a" strokeweight="1.25pt"/>
            </w:pict>
          </mc:Fallback>
        </mc:AlternateContent>
      </w:r>
    </w:p>
    <w:p w14:paraId="061ECE2B" w14:textId="77777777" w:rsidR="0002444A" w:rsidRDefault="0002444A" w:rsidP="006B72F1">
      <w:pPr>
        <w:rPr>
          <w:rFonts w:eastAsia="Calibri"/>
        </w:rPr>
      </w:pPr>
      <w:bookmarkStart w:id="24" w:name="_Toc464053927"/>
      <w:r w:rsidRPr="002662BA">
        <w:rPr>
          <w:rFonts w:eastAsia="Calibri"/>
          <w:u w:val="single"/>
        </w:rPr>
        <w:t>Overall assessment:</w:t>
      </w:r>
      <w:r>
        <w:rPr>
          <w:rFonts w:eastAsia="Calibri"/>
        </w:rPr>
        <w:t xml:space="preserve"> </w:t>
      </w:r>
      <w:r>
        <w:rPr>
          <w:rFonts w:eastAsia="Calibri"/>
          <w:b/>
        </w:rPr>
        <w:t xml:space="preserve"> </w:t>
      </w:r>
      <w:r w:rsidR="00ED7865">
        <w:rPr>
          <w:rFonts w:eastAsia="Calibri"/>
          <w:b/>
        </w:rPr>
        <w:t xml:space="preserve">Very </w:t>
      </w:r>
      <w:r w:rsidR="006B72F1">
        <w:rPr>
          <w:rFonts w:eastAsia="Calibri"/>
          <w:b/>
        </w:rPr>
        <w:t>Good</w:t>
      </w:r>
    </w:p>
    <w:p w14:paraId="66D8062F" w14:textId="77777777" w:rsidR="0002444A" w:rsidRDefault="006B72F1" w:rsidP="006B72F1">
      <w:pPr>
        <w:rPr>
          <w:rFonts w:eastAsia="Calibri"/>
        </w:rPr>
      </w:pPr>
      <w:r>
        <w:rPr>
          <w:rFonts w:eastAsia="Calibri"/>
          <w:u w:val="single"/>
        </w:rPr>
        <w:t>Key a</w:t>
      </w:r>
      <w:r w:rsidR="0002444A" w:rsidRPr="002662BA">
        <w:rPr>
          <w:rFonts w:eastAsia="Calibri"/>
          <w:u w:val="single"/>
        </w:rPr>
        <w:t>reas for improvement:</w:t>
      </w:r>
      <w:r w:rsidR="0002444A">
        <w:rPr>
          <w:rFonts w:eastAsia="Calibri"/>
        </w:rPr>
        <w:t xml:space="preserve"> </w:t>
      </w:r>
    </w:p>
    <w:p w14:paraId="08722C9E" w14:textId="3ECBA612" w:rsidR="00C06237" w:rsidRPr="00EA6265" w:rsidRDefault="006C71B7" w:rsidP="00C06237">
      <w:pPr>
        <w:pStyle w:val="ListParagraph"/>
        <w:numPr>
          <w:ilvl w:val="0"/>
          <w:numId w:val="10"/>
        </w:numPr>
        <w:rPr>
          <w:rFonts w:eastAsia="Calibri"/>
        </w:rPr>
      </w:pPr>
      <w:r>
        <w:rPr>
          <w:rFonts w:eastAsia="Calibri"/>
        </w:rPr>
        <w:t xml:space="preserve">Finalising </w:t>
      </w:r>
      <w:r w:rsidR="00C06237">
        <w:rPr>
          <w:rFonts w:eastAsia="Calibri"/>
        </w:rPr>
        <w:t xml:space="preserve">a </w:t>
      </w:r>
      <w:r w:rsidR="00C06237" w:rsidRPr="00EA6265">
        <w:rPr>
          <w:rFonts w:eastAsia="Calibri"/>
        </w:rPr>
        <w:t>review of the ACNC’s Regulatory Approach to confirm that it remains up-to-date and fit for purpose</w:t>
      </w:r>
    </w:p>
    <w:p w14:paraId="1F266053" w14:textId="376E9344" w:rsidR="006B72F1" w:rsidRPr="00EA6265" w:rsidRDefault="006C71B7" w:rsidP="00EA6265">
      <w:pPr>
        <w:pStyle w:val="ListParagraph"/>
        <w:numPr>
          <w:ilvl w:val="0"/>
          <w:numId w:val="10"/>
        </w:numPr>
        <w:ind w:hanging="357"/>
        <w:contextualSpacing w:val="0"/>
        <w:rPr>
          <w:rFonts w:eastAsia="Calibri"/>
        </w:rPr>
      </w:pPr>
      <w:r>
        <w:rPr>
          <w:rFonts w:eastAsia="Calibri"/>
        </w:rPr>
        <w:t>I</w:t>
      </w:r>
      <w:r w:rsidRPr="00EA6265">
        <w:rPr>
          <w:rFonts w:eastAsia="Calibri"/>
        </w:rPr>
        <w:t>ncreas</w:t>
      </w:r>
      <w:r>
        <w:rPr>
          <w:rFonts w:eastAsia="Calibri"/>
        </w:rPr>
        <w:t>ing</w:t>
      </w:r>
      <w:r w:rsidRPr="00EA6265">
        <w:rPr>
          <w:rFonts w:eastAsia="Calibri"/>
        </w:rPr>
        <w:t xml:space="preserve"> </w:t>
      </w:r>
      <w:r w:rsidR="00EA6265" w:rsidRPr="00EA6265">
        <w:rPr>
          <w:rFonts w:eastAsia="Calibri"/>
        </w:rPr>
        <w:t>access to other data holdings (such as data held by AUSTRAC and the Australian Criminal Intelligence Commission</w:t>
      </w:r>
      <w:r w:rsidR="00EA6265">
        <w:rPr>
          <w:rFonts w:eastAsia="Calibri"/>
        </w:rPr>
        <w:t>) and continuing</w:t>
      </w:r>
      <w:r w:rsidR="00EA6265" w:rsidRPr="00EA6265">
        <w:rPr>
          <w:rFonts w:eastAsia="Calibri"/>
        </w:rPr>
        <w:t xml:space="preserve"> to use a wide range of data and intelligence to inform our understanding of risk</w:t>
      </w:r>
      <w:r w:rsidR="00CD22C3" w:rsidRPr="00EA6265">
        <w:rPr>
          <w:rFonts w:eastAsia="Calibri"/>
        </w:rPr>
        <w:t>.</w:t>
      </w:r>
    </w:p>
    <w:p w14:paraId="1E4A091A" w14:textId="77777777" w:rsidR="00BC6E81" w:rsidRPr="00DE4169" w:rsidRDefault="00BC6E81" w:rsidP="00066896">
      <w:pPr>
        <w:pStyle w:val="Heading2"/>
        <w:spacing w:after="120"/>
      </w:pPr>
      <w:bookmarkStart w:id="25" w:name="_Toc521594132"/>
      <w:r w:rsidRPr="00DE4169">
        <w:lastRenderedPageBreak/>
        <w:t>KPI 4 – Compliance and monitoring approaches are streamlined and coordinated</w:t>
      </w:r>
      <w:bookmarkEnd w:id="24"/>
      <w:bookmarkEnd w:id="25"/>
    </w:p>
    <w:p w14:paraId="194BDFB9"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4A </w:t>
      </w:r>
      <w:r w:rsidRPr="0026276B">
        <w:rPr>
          <w:rFonts w:cs="Calibri"/>
          <w:b/>
          <w:sz w:val="20"/>
          <w:szCs w:val="20"/>
          <w:lang w:eastAsia="en-AU"/>
        </w:rPr>
        <w:t>Regulators’ information requests are tailored and only made when necessary to secure regulatory objectives, and only then</w:t>
      </w:r>
      <w:r>
        <w:rPr>
          <w:rFonts w:cs="Calibri"/>
          <w:b/>
          <w:sz w:val="20"/>
          <w:szCs w:val="20"/>
          <w:lang w:eastAsia="en-AU"/>
        </w:rPr>
        <w:t xml:space="preserve"> in a way that minimises impact; AND</w:t>
      </w:r>
      <w:r w:rsidR="00A33120">
        <w:rPr>
          <w:rFonts w:cs="Calibri"/>
          <w:b/>
          <w:sz w:val="20"/>
          <w:szCs w:val="20"/>
          <w:lang w:eastAsia="en-AU"/>
        </w:rPr>
        <w:t xml:space="preserve"> r</w:t>
      </w:r>
      <w:r w:rsidRPr="0026276B">
        <w:rPr>
          <w:rFonts w:cs="Calibri"/>
          <w:b/>
          <w:sz w:val="20"/>
          <w:szCs w:val="20"/>
          <w:lang w:eastAsia="en-AU"/>
        </w:rPr>
        <w:t>egulators’ frequency of information collection is minimised and coordinated with similar processes including those of other regulators so that, as far as possible, information is only requested once.</w:t>
      </w:r>
    </w:p>
    <w:p w14:paraId="0ED2754E" w14:textId="77777777" w:rsidR="0026276B" w:rsidRP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4</w:t>
      </w:r>
      <w:r w:rsidR="00A33120">
        <w:rPr>
          <w:rFonts w:cs="Calibri"/>
          <w:b/>
          <w:sz w:val="20"/>
          <w:szCs w:val="20"/>
          <w:lang w:eastAsia="en-AU"/>
        </w:rPr>
        <w:t>B</w:t>
      </w:r>
      <w:r>
        <w:rPr>
          <w:rFonts w:cs="Calibri"/>
          <w:b/>
          <w:sz w:val="20"/>
          <w:szCs w:val="20"/>
          <w:lang w:eastAsia="en-AU"/>
        </w:rPr>
        <w:t xml:space="preserve"> </w:t>
      </w:r>
      <w:r w:rsidR="002A6379">
        <w:rPr>
          <w:rFonts w:cs="Calibri"/>
          <w:b/>
          <w:sz w:val="20"/>
          <w:szCs w:val="20"/>
          <w:lang w:eastAsia="en-AU"/>
        </w:rPr>
        <w:t>R</w:t>
      </w:r>
      <w:r w:rsidR="002A6379" w:rsidRPr="0026276B">
        <w:rPr>
          <w:rFonts w:cs="Calibri"/>
          <w:b/>
          <w:sz w:val="20"/>
          <w:szCs w:val="20"/>
          <w:lang w:eastAsia="en-AU"/>
        </w:rPr>
        <w:t>egulators</w:t>
      </w:r>
      <w:r w:rsidRPr="0026276B">
        <w:rPr>
          <w:rFonts w:cs="Calibri"/>
          <w:b/>
          <w:sz w:val="20"/>
          <w:szCs w:val="20"/>
          <w:lang w:eastAsia="en-AU"/>
        </w:rPr>
        <w:t xml:space="preserve"> utilise existing information to limit the reliance on requests from regulated entities and share the information among other regulators, where possible.</w:t>
      </w:r>
    </w:p>
    <w:p w14:paraId="3AEAF48C" w14:textId="77777777" w:rsidR="0026276B" w:rsidRDefault="0026276B" w:rsidP="0026276B">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4</w:t>
      </w:r>
      <w:r w:rsidR="00A33120">
        <w:rPr>
          <w:rFonts w:cs="Calibri"/>
          <w:b/>
          <w:sz w:val="20"/>
          <w:szCs w:val="20"/>
          <w:lang w:eastAsia="en-AU"/>
        </w:rPr>
        <w:t>C</w:t>
      </w:r>
      <w:r>
        <w:rPr>
          <w:rFonts w:cs="Calibri"/>
          <w:b/>
          <w:sz w:val="20"/>
          <w:szCs w:val="20"/>
          <w:lang w:eastAsia="en-AU"/>
        </w:rPr>
        <w:t xml:space="preserve"> </w:t>
      </w:r>
      <w:r w:rsidRPr="0026276B">
        <w:rPr>
          <w:rFonts w:cs="Calibri"/>
          <w:b/>
          <w:sz w:val="20"/>
          <w:szCs w:val="20"/>
          <w:lang w:eastAsia="en-AU"/>
        </w:rPr>
        <w:t xml:space="preserve">Regulators base monitoring and inspection approaches on risk and, where possible, take into account the circumstance and operational needs of the regulated entity.  </w:t>
      </w:r>
    </w:p>
    <w:p w14:paraId="62B47613" w14:textId="77777777" w:rsidR="00F459CC" w:rsidRPr="00FE7123" w:rsidRDefault="0026276B" w:rsidP="00FE7123">
      <w:pPr>
        <w:pStyle w:val="Heading4"/>
        <w:spacing w:before="240"/>
      </w:pPr>
      <w:r w:rsidRPr="00FE7123">
        <w:t>I</w:t>
      </w:r>
      <w:r w:rsidR="00F459CC" w:rsidRPr="00FE7123">
        <w:t>nformation requests are necessary</w:t>
      </w:r>
      <w:r w:rsidR="00B4492D" w:rsidRPr="00FE7123">
        <w:t xml:space="preserve"> and coordinated, and</w:t>
      </w:r>
      <w:r w:rsidR="00F459CC" w:rsidRPr="00FE7123">
        <w:t xml:space="preserve"> impact is minimised</w:t>
      </w:r>
    </w:p>
    <w:p w14:paraId="4022A13A" w14:textId="77777777" w:rsidR="00870AFE" w:rsidRDefault="00870AFE" w:rsidP="00870AFE">
      <w:pPr>
        <w:pStyle w:val="ListParagraph"/>
        <w:numPr>
          <w:ilvl w:val="0"/>
          <w:numId w:val="8"/>
        </w:numPr>
        <w:ind w:left="357" w:hanging="357"/>
        <w:contextualSpacing w:val="0"/>
      </w:pPr>
      <w:r w:rsidRPr="002637B9">
        <w:t>The Charity Portal is a secure ‘self-service’ system for charities. Charities can log in and complete tasks that would have previously required them to submit a form via email or post, saving significant time and effort. Our aim is that charities can complete all reporting requirements with min</w:t>
      </w:r>
      <w:r w:rsidR="008F3AD2">
        <w:t xml:space="preserve">imum effort and maximum accuracy. In 2018-19, we will relaunch the Charity Portal, which will </w:t>
      </w:r>
      <w:r w:rsidR="00B9400D">
        <w:t>enable</w:t>
      </w:r>
      <w:r w:rsidR="008F3AD2">
        <w:t xml:space="preserve"> charities to have greater control in managing their reporting obligations.</w:t>
      </w:r>
    </w:p>
    <w:p w14:paraId="0B8FFE3F" w14:textId="77777777" w:rsidR="00D67BF5" w:rsidRDefault="00625E82" w:rsidP="00915076">
      <w:pPr>
        <w:pStyle w:val="ListParagraph"/>
        <w:numPr>
          <w:ilvl w:val="0"/>
          <w:numId w:val="8"/>
        </w:numPr>
        <w:ind w:left="357" w:hanging="357"/>
        <w:contextualSpacing w:val="0"/>
      </w:pPr>
      <w:r>
        <w:t xml:space="preserve">When considering new forms, we continue to use </w:t>
      </w:r>
      <w:hyperlink r:id="rId37" w:history="1">
        <w:r w:rsidR="00D67BF5" w:rsidRPr="006C71B7">
          <w:rPr>
            <w:rStyle w:val="Hyperlink"/>
          </w:rPr>
          <w:t xml:space="preserve">Operational Procedure 2014/03: </w:t>
        </w:r>
        <w:r w:rsidR="003A08BF" w:rsidRPr="006C71B7">
          <w:rPr>
            <w:rStyle w:val="Hyperlink"/>
          </w:rPr>
          <w:t>c</w:t>
        </w:r>
        <w:r w:rsidR="00D67BF5" w:rsidRPr="006C71B7">
          <w:rPr>
            <w:rStyle w:val="Hyperlink"/>
          </w:rPr>
          <w:t>reating, updating and reviewing forms</w:t>
        </w:r>
      </w:hyperlink>
      <w:r w:rsidR="00D67BF5" w:rsidRPr="00D67BF5">
        <w:t xml:space="preserve">. This </w:t>
      </w:r>
      <w:r w:rsidR="002A6379">
        <w:t>procedure</w:t>
      </w:r>
      <w:r w:rsidR="00D67BF5" w:rsidRPr="00D67BF5">
        <w:t xml:space="preserve"> confirm</w:t>
      </w:r>
      <w:r w:rsidR="009A6474">
        <w:t>s</w:t>
      </w:r>
      <w:r w:rsidR="00D67BF5" w:rsidRPr="00D67BF5">
        <w:t xml:space="preserve"> that when drafting or modifying any forms, the purpose and function of the form should be considered, and only information needed to fulfil these functions should be requested. </w:t>
      </w:r>
    </w:p>
    <w:p w14:paraId="2E197800" w14:textId="77777777" w:rsidR="00A322AC" w:rsidRPr="0003410C" w:rsidRDefault="00A322AC" w:rsidP="00915076">
      <w:pPr>
        <w:pStyle w:val="ListParagraph"/>
        <w:numPr>
          <w:ilvl w:val="0"/>
          <w:numId w:val="8"/>
        </w:numPr>
        <w:ind w:left="357" w:hanging="357"/>
        <w:contextualSpacing w:val="0"/>
      </w:pPr>
      <w:r w:rsidRPr="0003410C">
        <w:t xml:space="preserve">As highlighted in </w:t>
      </w:r>
      <w:r w:rsidR="0003410C" w:rsidRPr="0003410C">
        <w:t>paragraphs</w:t>
      </w:r>
      <w:r w:rsidRPr="0003410C">
        <w:t xml:space="preserve"> </w:t>
      </w:r>
      <w:r w:rsidR="0003410C" w:rsidRPr="0003410C">
        <w:fldChar w:fldCharType="begin"/>
      </w:r>
      <w:r w:rsidR="0003410C" w:rsidRPr="0003410C">
        <w:instrText xml:space="preserve"> REF _Ref520054436 \r \h </w:instrText>
      </w:r>
      <w:r w:rsidR="0003410C">
        <w:instrText xml:space="preserve"> \* MERGEFORMAT </w:instrText>
      </w:r>
      <w:r w:rsidR="0003410C" w:rsidRPr="0003410C">
        <w:fldChar w:fldCharType="separate"/>
      </w:r>
      <w:r w:rsidR="00AE14E2">
        <w:t>31</w:t>
      </w:r>
      <w:r w:rsidR="0003410C" w:rsidRPr="0003410C">
        <w:fldChar w:fldCharType="end"/>
      </w:r>
      <w:r w:rsidR="0003410C" w:rsidRPr="0003410C">
        <w:t>-</w:t>
      </w:r>
      <w:r w:rsidR="0003410C" w:rsidRPr="0003410C">
        <w:fldChar w:fldCharType="begin"/>
      </w:r>
      <w:r w:rsidR="0003410C" w:rsidRPr="0003410C">
        <w:instrText xml:space="preserve"> REF _Ref520051723 \r \h </w:instrText>
      </w:r>
      <w:r w:rsidR="0003410C">
        <w:instrText xml:space="preserve"> \* MERGEFORMAT </w:instrText>
      </w:r>
      <w:r w:rsidR="0003410C" w:rsidRPr="0003410C">
        <w:fldChar w:fldCharType="separate"/>
      </w:r>
      <w:r w:rsidR="00AE14E2">
        <w:t>32</w:t>
      </w:r>
      <w:r w:rsidR="0003410C" w:rsidRPr="0003410C">
        <w:fldChar w:fldCharType="end"/>
      </w:r>
      <w:r w:rsidRPr="0003410C">
        <w:t>, the ACNC has a range of streamlined reporting arrangements in place, which ensures that information requests are</w:t>
      </w:r>
      <w:r w:rsidR="00870AFE" w:rsidRPr="0003410C">
        <w:t xml:space="preserve"> kept to a minimum.</w:t>
      </w:r>
    </w:p>
    <w:p w14:paraId="221D6BEC" w14:textId="77777777" w:rsidR="00870AFE" w:rsidRPr="0003410C" w:rsidRDefault="00D67BF5" w:rsidP="00870AFE">
      <w:pPr>
        <w:pStyle w:val="ListParagraph"/>
        <w:numPr>
          <w:ilvl w:val="0"/>
          <w:numId w:val="8"/>
        </w:numPr>
        <w:contextualSpacing w:val="0"/>
      </w:pPr>
      <w:r w:rsidRPr="0003410C">
        <w:t xml:space="preserve">The ACNC has also identified the need to significantly expand its access to available </w:t>
      </w:r>
      <w:r w:rsidR="00CF00E6">
        <w:t>c</w:t>
      </w:r>
      <w:r w:rsidRPr="0003410C">
        <w:t xml:space="preserve">ompliance data, which can assist in identifying risk in the sector. </w:t>
      </w:r>
    </w:p>
    <w:p w14:paraId="5DC200FE" w14:textId="77777777" w:rsidR="00D67BF5" w:rsidRPr="004618C3" w:rsidRDefault="00870AFE" w:rsidP="00870AFE">
      <w:pPr>
        <w:pStyle w:val="ListParagraph"/>
        <w:numPr>
          <w:ilvl w:val="0"/>
          <w:numId w:val="8"/>
        </w:numPr>
        <w:contextualSpacing w:val="0"/>
      </w:pPr>
      <w:bookmarkStart w:id="26" w:name="_Ref520054243"/>
      <w:r w:rsidRPr="004618C3">
        <w:t xml:space="preserve">In May 2018, the ACNC became a designated agency under the </w:t>
      </w:r>
      <w:r w:rsidRPr="004618C3">
        <w:rPr>
          <w:i/>
        </w:rPr>
        <w:t>Anti-Money Laundering and Counter-Terrorism Financing Act</w:t>
      </w:r>
      <w:r w:rsidRPr="004618C3">
        <w:t xml:space="preserve"> </w:t>
      </w:r>
      <w:r w:rsidRPr="00972E4C">
        <w:rPr>
          <w:i/>
        </w:rPr>
        <w:t>2006 (Cth)</w:t>
      </w:r>
      <w:r w:rsidRPr="004618C3">
        <w:t>. This will allow the ACNC to have direct access to AUSTRAC data, further enhancing the ACNC’s ability to identify areas of risk.</w:t>
      </w:r>
      <w:bookmarkEnd w:id="26"/>
    </w:p>
    <w:p w14:paraId="76ACFC51" w14:textId="77777777" w:rsidR="00870AFE" w:rsidRPr="004618C3" w:rsidRDefault="00870AFE" w:rsidP="00870AFE">
      <w:pPr>
        <w:pStyle w:val="ListParagraph"/>
        <w:numPr>
          <w:ilvl w:val="0"/>
          <w:numId w:val="8"/>
        </w:numPr>
        <w:contextualSpacing w:val="0"/>
      </w:pPr>
      <w:bookmarkStart w:id="27" w:name="_Ref520054246"/>
      <w:r w:rsidRPr="004618C3">
        <w:t>The ACNC has also developed various Memoranda of Understanding</w:t>
      </w:r>
      <w:r w:rsidR="004618C3">
        <w:t xml:space="preserve"> (MoU)</w:t>
      </w:r>
      <w:r w:rsidRPr="004618C3">
        <w:t xml:space="preserve"> to ensure that information is shared. In March 2018, the ACNC entered into a MoU with </w:t>
      </w:r>
      <w:r w:rsidR="004618C3">
        <w:t xml:space="preserve">the Department of the </w:t>
      </w:r>
      <w:r w:rsidRPr="004618C3">
        <w:t xml:space="preserve">Prime Minister and Cabinet, which allows us to share information and intelligence on a number of charities of mutual interest. </w:t>
      </w:r>
      <w:bookmarkEnd w:id="27"/>
    </w:p>
    <w:p w14:paraId="6558ACC7" w14:textId="77777777" w:rsidR="00F459CC" w:rsidRPr="00FE7123" w:rsidRDefault="004E2F2A" w:rsidP="00FE7123">
      <w:pPr>
        <w:pStyle w:val="Heading4"/>
      </w:pPr>
      <w:r>
        <w:t>E</w:t>
      </w:r>
      <w:r w:rsidR="00F459CC" w:rsidRPr="00FE7123">
        <w:t>xisting information is used and shared across government</w:t>
      </w:r>
    </w:p>
    <w:p w14:paraId="15E94A27" w14:textId="77777777" w:rsidR="004618C3" w:rsidRPr="00537CD6" w:rsidRDefault="004618C3" w:rsidP="00915076">
      <w:pPr>
        <w:pStyle w:val="ListParagraph"/>
        <w:numPr>
          <w:ilvl w:val="0"/>
          <w:numId w:val="8"/>
        </w:numPr>
        <w:ind w:left="357" w:hanging="357"/>
        <w:contextualSpacing w:val="0"/>
      </w:pPr>
      <w:r w:rsidRPr="00537CD6">
        <w:t>The ACNC has implemented streamlined reporting arrangements for charities, which involve sharing information with other government agencies. The ACNC currently</w:t>
      </w:r>
      <w:r w:rsidR="004C367E">
        <w:t xml:space="preserve"> shares</w:t>
      </w:r>
      <w:r w:rsidRPr="00537CD6">
        <w:t xml:space="preserve"> information with a range of commonwealth regulators (such as the ATO). We also share information with regulators in South Australia, Tasmania, the ACT and Victoria. </w:t>
      </w:r>
    </w:p>
    <w:p w14:paraId="31CE7750" w14:textId="77777777" w:rsidR="00915076" w:rsidRDefault="004618C3" w:rsidP="00915076">
      <w:pPr>
        <w:pStyle w:val="ListParagraph"/>
        <w:numPr>
          <w:ilvl w:val="0"/>
          <w:numId w:val="8"/>
        </w:numPr>
        <w:ind w:left="357" w:hanging="357"/>
        <w:contextualSpacing w:val="0"/>
      </w:pPr>
      <w:r>
        <w:t>The ACNC sha</w:t>
      </w:r>
      <w:r w:rsidR="004C367E">
        <w:t>res data via numerous pathways. T</w:t>
      </w:r>
      <w:r>
        <w:t xml:space="preserve">he most common method involves using the ACNC’s Charity Passport. </w:t>
      </w:r>
      <w:r w:rsidR="005E1FF1" w:rsidRPr="00B26BE5">
        <w:t>The Charity Passport</w:t>
      </w:r>
      <w:r w:rsidR="00915076">
        <w:t xml:space="preserve"> allows authorised government agencies to electronically access a range of information on ACNC </w:t>
      </w:r>
      <w:r w:rsidR="005E1FF1" w:rsidRPr="00B26BE5">
        <w:t>registered charities</w:t>
      </w:r>
      <w:r w:rsidR="00915076">
        <w:t>, including a charity’s finances, activities and contact details</w:t>
      </w:r>
      <w:r w:rsidR="005E1FF1" w:rsidRPr="00B26BE5">
        <w:t>. It is the core of the ACNC’s ‘report once, use often’ reporting framework, which</w:t>
      </w:r>
      <w:r w:rsidR="00915076">
        <w:t xml:space="preserve"> aims to</w:t>
      </w:r>
      <w:r w:rsidR="005E1FF1" w:rsidRPr="00B26BE5">
        <w:t xml:space="preserve"> reduce duplicated reporting across government.</w:t>
      </w:r>
      <w:r w:rsidR="009B5C8B" w:rsidRPr="00B26BE5">
        <w:t xml:space="preserve"> </w:t>
      </w:r>
    </w:p>
    <w:p w14:paraId="58C3F3EE" w14:textId="77777777" w:rsidR="00915076" w:rsidRPr="00915076" w:rsidRDefault="00915076" w:rsidP="00915076">
      <w:pPr>
        <w:pStyle w:val="ListParagraph"/>
        <w:numPr>
          <w:ilvl w:val="0"/>
          <w:numId w:val="8"/>
        </w:numPr>
        <w:ind w:left="357" w:hanging="357"/>
        <w:contextualSpacing w:val="0"/>
      </w:pPr>
      <w:r>
        <w:t>T</w:t>
      </w:r>
      <w:r w:rsidRPr="00915076">
        <w:t>here were 21 government agencies</w:t>
      </w:r>
      <w:r>
        <w:t xml:space="preserve"> using the Charity Passport as at 30 June 2018</w:t>
      </w:r>
      <w:r w:rsidRPr="00915076">
        <w:t xml:space="preserve"> (a </w:t>
      </w:r>
      <w:r w:rsidR="00B23FA3">
        <w:t xml:space="preserve">five </w:t>
      </w:r>
      <w:r>
        <w:t>per cent</w:t>
      </w:r>
      <w:r w:rsidRPr="00915076">
        <w:t xml:space="preserve"> increase </w:t>
      </w:r>
      <w:r>
        <w:t xml:space="preserve">compared to </w:t>
      </w:r>
      <w:r w:rsidRPr="00915076">
        <w:t xml:space="preserve">30 June 2017, and </w:t>
      </w:r>
      <w:r>
        <w:t xml:space="preserve">a </w:t>
      </w:r>
      <w:r w:rsidRPr="00915076">
        <w:t>31</w:t>
      </w:r>
      <w:r>
        <w:t xml:space="preserve"> per cent increase compared to </w:t>
      </w:r>
      <w:r w:rsidRPr="00915076">
        <w:t>30 June 2016).</w:t>
      </w:r>
    </w:p>
    <w:p w14:paraId="7071D051" w14:textId="77777777" w:rsidR="00915076" w:rsidRDefault="00915076" w:rsidP="008D5593">
      <w:pPr>
        <w:pStyle w:val="ListParagraph"/>
        <w:numPr>
          <w:ilvl w:val="0"/>
          <w:numId w:val="8"/>
        </w:numPr>
        <w:contextualSpacing w:val="0"/>
      </w:pPr>
      <w:bookmarkStart w:id="28" w:name="_Ref520056031"/>
      <w:r>
        <w:t>W</w:t>
      </w:r>
      <w:r w:rsidR="006264DA">
        <w:t xml:space="preserve">here compliance issues are identified, we work </w:t>
      </w:r>
      <w:r w:rsidR="006264DA" w:rsidRPr="00915076">
        <w:t>closely with other government agencies to share information and determine who is best placed to act</w:t>
      </w:r>
      <w:r w:rsidR="006264DA">
        <w:t xml:space="preserve">. This reduces the burden on charities, as they will not be required to provide the same information to multiple regulators. </w:t>
      </w:r>
      <w:r w:rsidR="006264DA" w:rsidRPr="006264DA">
        <w:t>In 2017-18 we received 167 referrals from other government agencies and made 137 referrals to other government agencies</w:t>
      </w:r>
      <w:r w:rsidR="006264DA">
        <w:t xml:space="preserve"> </w:t>
      </w:r>
      <w:r w:rsidR="006264DA" w:rsidRPr="00915076">
        <w:t>where we considered the matter may have also fallen within their jurisdiction</w:t>
      </w:r>
      <w:r w:rsidR="006264DA" w:rsidRPr="006264DA">
        <w:t>.</w:t>
      </w:r>
      <w:bookmarkEnd w:id="28"/>
    </w:p>
    <w:p w14:paraId="5951B1FA" w14:textId="7F33BD1F" w:rsidR="00322B8D" w:rsidRDefault="00402000" w:rsidP="00322B8D">
      <w:pPr>
        <w:pStyle w:val="ListParagraph"/>
        <w:numPr>
          <w:ilvl w:val="0"/>
          <w:numId w:val="8"/>
        </w:numPr>
        <w:contextualSpacing w:val="0"/>
      </w:pPr>
      <w:r>
        <w:lastRenderedPageBreak/>
        <w:t>In late 2017 the ACNC established the</w:t>
      </w:r>
      <w:r w:rsidR="00322B8D" w:rsidRPr="00322B8D">
        <w:t xml:space="preserve"> Not-for-profit Risk Working Group.  The group consist</w:t>
      </w:r>
      <w:r w:rsidR="009E6DE6">
        <w:t>s</w:t>
      </w:r>
      <w:r w:rsidR="00322B8D" w:rsidRPr="00322B8D">
        <w:t xml:space="preserve"> of representatives from the ACNC, AUSTRAC, AFP, ACIC and ATO</w:t>
      </w:r>
      <w:r w:rsidR="00322B8D">
        <w:t xml:space="preserve">, and has been set up to ensure </w:t>
      </w:r>
      <w:r>
        <w:t xml:space="preserve">a coordinated approach to addressing money laundering and terrorism financing risks identified </w:t>
      </w:r>
      <w:r w:rsidR="00B23FA3">
        <w:t xml:space="preserve">in </w:t>
      </w:r>
      <w:r w:rsidR="004618C3">
        <w:t xml:space="preserve">the </w:t>
      </w:r>
      <w:r w:rsidR="004618C3" w:rsidRPr="00F76C32">
        <w:t>National Risk Assessment of Australia’s Not-for-profit sector</w:t>
      </w:r>
      <w:r w:rsidR="00322B8D">
        <w:t xml:space="preserve"> are addressed. </w:t>
      </w:r>
    </w:p>
    <w:p w14:paraId="2E25BC15" w14:textId="77777777" w:rsidR="002F4BD6" w:rsidRPr="005F1F6F" w:rsidRDefault="003F5EF6" w:rsidP="005E1FF1">
      <w:pPr>
        <w:pStyle w:val="Heading4"/>
      </w:pPr>
      <w:r w:rsidRPr="005F1F6F">
        <w:t>M</w:t>
      </w:r>
      <w:r w:rsidR="00F459CC" w:rsidRPr="005F1F6F">
        <w:t>onitoring and inspection is tailored and risk-based</w:t>
      </w:r>
    </w:p>
    <w:p w14:paraId="78AD398F" w14:textId="501455F7" w:rsidR="006264DA" w:rsidRDefault="00E50E87" w:rsidP="006264DA">
      <w:pPr>
        <w:pStyle w:val="ListParagraph"/>
        <w:numPr>
          <w:ilvl w:val="0"/>
          <w:numId w:val="8"/>
        </w:numPr>
        <w:ind w:left="357" w:hanging="357"/>
        <w:contextualSpacing w:val="0"/>
      </w:pPr>
      <w:r w:rsidRPr="00E50E87">
        <w:t xml:space="preserve">ACNC </w:t>
      </w:r>
      <w:r w:rsidR="00522E0C">
        <w:t>s</w:t>
      </w:r>
      <w:r w:rsidR="00522E0C" w:rsidRPr="00E50E87">
        <w:t xml:space="preserve">taff </w:t>
      </w:r>
      <w:r w:rsidRPr="00E50E87">
        <w:t xml:space="preserve">act in accordance with risk-based policies and procedures, consistent with the overarching ACNC </w:t>
      </w:r>
      <w:hyperlink r:id="rId38" w:history="1">
        <w:r w:rsidRPr="00625E82">
          <w:rPr>
            <w:rStyle w:val="Hyperlink"/>
          </w:rPr>
          <w:t>Regulatory Approach Statement</w:t>
        </w:r>
      </w:hyperlink>
      <w:r w:rsidRPr="00E50E87">
        <w:t xml:space="preserve"> and</w:t>
      </w:r>
      <w:r w:rsidR="004618C3">
        <w:t xml:space="preserve"> our</w:t>
      </w:r>
      <w:r w:rsidRPr="00E50E87">
        <w:t xml:space="preserve"> </w:t>
      </w:r>
      <w:hyperlink r:id="rId39" w:history="1">
        <w:r w:rsidR="00250070" w:rsidRPr="00625E82">
          <w:rPr>
            <w:rStyle w:val="Hyperlink"/>
            <w:szCs w:val="24"/>
          </w:rPr>
          <w:t>Commissioner’s Policy Statement: Compliance and enforcement</w:t>
        </w:r>
      </w:hyperlink>
      <w:r w:rsidRPr="00E50E87">
        <w:t xml:space="preserve">. Compliance monitoring activities are only conducted in relation to those matters that present the greatest risk to trust and confidence in the sector. </w:t>
      </w:r>
    </w:p>
    <w:p w14:paraId="28860B2D" w14:textId="3732C863" w:rsidR="00934B8A" w:rsidRDefault="00E50E87" w:rsidP="006264DA">
      <w:pPr>
        <w:pStyle w:val="ListParagraph"/>
        <w:numPr>
          <w:ilvl w:val="0"/>
          <w:numId w:val="8"/>
        </w:numPr>
        <w:ind w:left="357" w:hanging="357"/>
        <w:contextualSpacing w:val="0"/>
      </w:pPr>
      <w:r w:rsidRPr="00E50E87">
        <w:t xml:space="preserve">In recognition of the varying degrees of capacity within the sector, </w:t>
      </w:r>
      <w:r>
        <w:t>c</w:t>
      </w:r>
      <w:r w:rsidRPr="00E50E87">
        <w:t xml:space="preserve">ompliance activities are tailored according to the size and resources of the charity. Small charities are provided longer time frames </w:t>
      </w:r>
      <w:r>
        <w:t>to</w:t>
      </w:r>
      <w:r w:rsidRPr="00E50E87">
        <w:t xml:space="preserve"> respond to the ACNC. Some compliance outcomes </w:t>
      </w:r>
      <w:r w:rsidR="006264DA">
        <w:t>(such as penalties)</w:t>
      </w:r>
      <w:r w:rsidRPr="00E50E87">
        <w:t xml:space="preserve"> vary depending on the size of the charity, with large</w:t>
      </w:r>
      <w:r w:rsidR="0081629A">
        <w:t xml:space="preserve"> charities paying higher penalti</w:t>
      </w:r>
      <w:r w:rsidRPr="00E50E87">
        <w:t>es than medium and small charities.</w:t>
      </w:r>
    </w:p>
    <w:p w14:paraId="39678A4D" w14:textId="77777777" w:rsidR="00402000" w:rsidRPr="004618C3" w:rsidRDefault="00402000" w:rsidP="00402000">
      <w:pPr>
        <w:pStyle w:val="ListParagraph"/>
        <w:numPr>
          <w:ilvl w:val="0"/>
          <w:numId w:val="8"/>
        </w:numPr>
        <w:contextualSpacing w:val="0"/>
      </w:pPr>
      <w:r>
        <w:t>In 2017</w:t>
      </w:r>
      <w:r w:rsidR="00625E82">
        <w:t>-18, our compliance area</w:t>
      </w:r>
      <w:r>
        <w:t xml:space="preserve"> improved its triage and risk assessment processes to ensure that only the most serious cases progress to investigation. </w:t>
      </w:r>
    </w:p>
    <w:p w14:paraId="5431745A" w14:textId="77777777" w:rsidR="006264DA" w:rsidRPr="00537CD6" w:rsidRDefault="006264DA" w:rsidP="006264DA">
      <w:pPr>
        <w:pStyle w:val="ListParagraph"/>
        <w:numPr>
          <w:ilvl w:val="0"/>
          <w:numId w:val="8"/>
        </w:numPr>
        <w:ind w:left="357" w:hanging="357"/>
        <w:contextualSpacing w:val="0"/>
      </w:pPr>
      <w:r w:rsidRPr="00537CD6">
        <w:t xml:space="preserve">The ACNC also </w:t>
      </w:r>
      <w:r w:rsidR="00537CD6" w:rsidRPr="00537CD6">
        <w:t>considers</w:t>
      </w:r>
      <w:r w:rsidRPr="00537CD6">
        <w:t xml:space="preserve"> the size </w:t>
      </w:r>
      <w:r w:rsidR="00537CD6" w:rsidRPr="00537CD6">
        <w:t xml:space="preserve">and reporting history </w:t>
      </w:r>
      <w:r w:rsidR="00537CD6">
        <w:t xml:space="preserve">of </w:t>
      </w:r>
      <w:r w:rsidRPr="00537CD6">
        <w:t>charit</w:t>
      </w:r>
      <w:r w:rsidR="00537CD6">
        <w:t>ies</w:t>
      </w:r>
      <w:r w:rsidR="004618C3" w:rsidRPr="00537CD6">
        <w:t xml:space="preserve"> when communicating </w:t>
      </w:r>
      <w:r w:rsidR="00537CD6" w:rsidRPr="00537CD6">
        <w:t xml:space="preserve">(refer to paragraph </w:t>
      </w:r>
      <w:r w:rsidR="00537CD6" w:rsidRPr="00537CD6">
        <w:fldChar w:fldCharType="begin"/>
      </w:r>
      <w:r w:rsidR="00537CD6" w:rsidRPr="00537CD6">
        <w:instrText xml:space="preserve"> REF _Ref520104699 \r \h </w:instrText>
      </w:r>
      <w:r w:rsidR="00537CD6">
        <w:instrText xml:space="preserve"> \* MERGEFORMAT </w:instrText>
      </w:r>
      <w:r w:rsidR="00537CD6" w:rsidRPr="00537CD6">
        <w:fldChar w:fldCharType="separate"/>
      </w:r>
      <w:r w:rsidR="00AE14E2">
        <w:t>45</w:t>
      </w:r>
      <w:r w:rsidR="00537CD6" w:rsidRPr="00537CD6">
        <w:fldChar w:fldCharType="end"/>
      </w:r>
      <w:r w:rsidR="00537CD6" w:rsidRPr="00537CD6">
        <w:t>)</w:t>
      </w:r>
      <w:r w:rsidR="004618C3" w:rsidRPr="00537CD6">
        <w:t>.</w:t>
      </w:r>
    </w:p>
    <w:p w14:paraId="08498C5F" w14:textId="77777777" w:rsidR="006073B9" w:rsidRDefault="00AC4DE5" w:rsidP="00AC4DE5">
      <w:pPr>
        <w:spacing w:after="0"/>
      </w:pPr>
      <w:r>
        <w:rPr>
          <w:rFonts w:eastAsia="Calibri"/>
          <w:noProof/>
          <w:lang w:eastAsia="en-AU"/>
        </w:rPr>
        <mc:AlternateContent>
          <mc:Choice Requires="wps">
            <w:drawing>
              <wp:anchor distT="0" distB="0" distL="114300" distR="114300" simplePos="0" relativeHeight="251633152" behindDoc="0" locked="0" layoutInCell="1" allowOverlap="1" wp14:anchorId="1E67E96B" wp14:editId="13727BA6">
                <wp:simplePos x="0" y="0"/>
                <wp:positionH relativeFrom="column">
                  <wp:posOffset>-67945</wp:posOffset>
                </wp:positionH>
                <wp:positionV relativeFrom="paragraph">
                  <wp:posOffset>114299</wp:posOffset>
                </wp:positionV>
                <wp:extent cx="6172200" cy="11906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172200" cy="1190625"/>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CC795" id="Rectangle 7" o:spid="_x0000_s1026" style="position:absolute;margin-left:-5.35pt;margin-top:9pt;width:486pt;height:9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" filled="f" strokecolor="#385d8a" strokeweight="1.25pt"/>
            </w:pict>
          </mc:Fallback>
        </mc:AlternateContent>
      </w:r>
    </w:p>
    <w:p w14:paraId="089ACCAA" w14:textId="77777777" w:rsidR="002635DB" w:rsidRDefault="002635DB" w:rsidP="005F1F6F">
      <w:pPr>
        <w:rPr>
          <w:rFonts w:eastAsia="Calibri"/>
        </w:rPr>
      </w:pPr>
      <w:r w:rsidRPr="002662BA">
        <w:rPr>
          <w:rFonts w:eastAsia="Calibri"/>
          <w:u w:val="single"/>
        </w:rPr>
        <w:t>Overall assessment:</w:t>
      </w:r>
      <w:r>
        <w:rPr>
          <w:rFonts w:eastAsia="Calibri"/>
        </w:rPr>
        <w:t xml:space="preserve"> </w:t>
      </w:r>
      <w:r w:rsidR="00D67BF5" w:rsidRPr="00D67BF5">
        <w:rPr>
          <w:rFonts w:eastAsia="Calibri"/>
          <w:b/>
        </w:rPr>
        <w:t>Very</w:t>
      </w:r>
      <w:r>
        <w:rPr>
          <w:rFonts w:eastAsia="Calibri"/>
          <w:b/>
        </w:rPr>
        <w:t xml:space="preserve"> </w:t>
      </w:r>
      <w:r w:rsidR="005F1F6F">
        <w:rPr>
          <w:rFonts w:eastAsia="Calibri"/>
          <w:b/>
        </w:rPr>
        <w:t>Good</w:t>
      </w:r>
    </w:p>
    <w:p w14:paraId="35AA596B" w14:textId="77777777" w:rsidR="002635DB" w:rsidRDefault="002635DB" w:rsidP="00066896">
      <w:pPr>
        <w:spacing w:after="0"/>
        <w:rPr>
          <w:rFonts w:eastAsia="Calibri"/>
        </w:rPr>
      </w:pPr>
      <w:r w:rsidRPr="002662BA">
        <w:rPr>
          <w:rFonts w:eastAsia="Calibri"/>
          <w:u w:val="single"/>
        </w:rPr>
        <w:t>Areas for improvement:</w:t>
      </w:r>
      <w:r>
        <w:rPr>
          <w:rFonts w:eastAsia="Calibri"/>
        </w:rPr>
        <w:t xml:space="preserve"> </w:t>
      </w:r>
    </w:p>
    <w:p w14:paraId="63353888" w14:textId="77777777" w:rsidR="00F15D61" w:rsidRDefault="00F15D61" w:rsidP="00066896">
      <w:pPr>
        <w:spacing w:after="0"/>
        <w:rPr>
          <w:rFonts w:eastAsia="Calibri"/>
        </w:rPr>
      </w:pPr>
    </w:p>
    <w:p w14:paraId="0BC6B15F" w14:textId="323E47C5" w:rsidR="00915076" w:rsidRPr="00AA5705" w:rsidRDefault="00522E0C" w:rsidP="00915076">
      <w:pPr>
        <w:pStyle w:val="ListParagraph"/>
        <w:numPr>
          <w:ilvl w:val="0"/>
          <w:numId w:val="10"/>
        </w:numPr>
        <w:rPr>
          <w:rFonts w:eastAsia="Calibri"/>
        </w:rPr>
      </w:pPr>
      <w:r>
        <w:rPr>
          <w:rFonts w:eastAsia="Calibri"/>
        </w:rPr>
        <w:t xml:space="preserve">Improving </w:t>
      </w:r>
      <w:r w:rsidR="00915076">
        <w:rPr>
          <w:rFonts w:eastAsia="Calibri"/>
        </w:rPr>
        <w:t>t</w:t>
      </w:r>
      <w:r w:rsidR="00915076" w:rsidRPr="00AA5705">
        <w:rPr>
          <w:rFonts w:eastAsia="Calibri"/>
        </w:rPr>
        <w:t xml:space="preserve">he </w:t>
      </w:r>
      <w:r w:rsidR="00915076">
        <w:rPr>
          <w:rFonts w:eastAsia="Calibri"/>
        </w:rPr>
        <w:t xml:space="preserve">accessibility and useability of the </w:t>
      </w:r>
      <w:r w:rsidR="00915076" w:rsidRPr="00AA5705">
        <w:rPr>
          <w:rFonts w:eastAsia="Calibri"/>
        </w:rPr>
        <w:t>ACNC</w:t>
      </w:r>
      <w:r w:rsidR="00915076">
        <w:rPr>
          <w:rFonts w:eastAsia="Calibri"/>
        </w:rPr>
        <w:t xml:space="preserve">’s website, forms and the Charity Portal </w:t>
      </w:r>
    </w:p>
    <w:p w14:paraId="608F3591" w14:textId="1A542730" w:rsidR="005A5A1C" w:rsidRPr="00870AFE" w:rsidRDefault="00522E0C" w:rsidP="00870AFE">
      <w:pPr>
        <w:pStyle w:val="ListParagraph"/>
        <w:numPr>
          <w:ilvl w:val="0"/>
          <w:numId w:val="10"/>
        </w:numPr>
        <w:rPr>
          <w:rFonts w:eastAsia="Calibri"/>
        </w:rPr>
      </w:pPr>
      <w:r>
        <w:rPr>
          <w:rFonts w:eastAsia="Calibri"/>
        </w:rPr>
        <w:t>C</w:t>
      </w:r>
      <w:r w:rsidR="00D67BF5">
        <w:rPr>
          <w:rFonts w:eastAsia="Calibri"/>
        </w:rPr>
        <w:t>ontinu</w:t>
      </w:r>
      <w:r w:rsidR="00F15D61">
        <w:rPr>
          <w:rFonts w:eastAsia="Calibri"/>
        </w:rPr>
        <w:t>ing</w:t>
      </w:r>
      <w:r w:rsidR="00D67BF5">
        <w:rPr>
          <w:rFonts w:eastAsia="Calibri"/>
        </w:rPr>
        <w:t xml:space="preserve"> to </w:t>
      </w:r>
      <w:r w:rsidR="00915076">
        <w:rPr>
          <w:rFonts w:eastAsia="Calibri"/>
        </w:rPr>
        <w:t>promote and e</w:t>
      </w:r>
      <w:r w:rsidR="005F1F6F">
        <w:rPr>
          <w:rFonts w:eastAsia="Calibri"/>
        </w:rPr>
        <w:t>xpand use of the Charity Passport</w:t>
      </w:r>
      <w:r w:rsidR="004C317E">
        <w:rPr>
          <w:rFonts w:eastAsia="Calibri"/>
        </w:rPr>
        <w:t>.</w:t>
      </w:r>
      <w:bookmarkStart w:id="29" w:name="_Toc464053928"/>
      <w:r w:rsidR="005A5A1C" w:rsidRPr="00870AFE">
        <w:rPr>
          <w:b/>
          <w:bCs/>
          <w:iCs/>
        </w:rPr>
        <w:br w:type="page"/>
      </w:r>
    </w:p>
    <w:p w14:paraId="7106F462" w14:textId="77777777" w:rsidR="00BC6E81" w:rsidRPr="00066896" w:rsidRDefault="00BC6E81" w:rsidP="00066896">
      <w:pPr>
        <w:pStyle w:val="Heading2"/>
        <w:rPr>
          <w:b w:val="0"/>
          <w:bCs w:val="0"/>
          <w:iCs w:val="0"/>
        </w:rPr>
      </w:pPr>
      <w:bookmarkStart w:id="30" w:name="_Toc521594133"/>
      <w:r w:rsidRPr="00066896">
        <w:rPr>
          <w:b w:val="0"/>
          <w:bCs w:val="0"/>
          <w:iCs w:val="0"/>
        </w:rPr>
        <w:lastRenderedPageBreak/>
        <w:t>KPI 5 – Regulators are open and transparent in their dealings with regulated entities</w:t>
      </w:r>
      <w:bookmarkEnd w:id="29"/>
      <w:bookmarkEnd w:id="30"/>
    </w:p>
    <w:p w14:paraId="32DA4558" w14:textId="77777777" w:rsidR="00A33120" w:rsidRPr="00A33120" w:rsidRDefault="00A33120" w:rsidP="00A33120">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5A </w:t>
      </w:r>
      <w:r w:rsidRPr="00A33120">
        <w:rPr>
          <w:rFonts w:cs="Calibri"/>
          <w:b/>
          <w:sz w:val="20"/>
          <w:szCs w:val="20"/>
          <w:lang w:eastAsia="en-AU"/>
        </w:rPr>
        <w:t>Regulators’ risk-based frameworks are publicly available in a format which is clear, understandable and accessible.</w:t>
      </w:r>
    </w:p>
    <w:p w14:paraId="7AA3109D" w14:textId="77777777" w:rsidR="00A33120" w:rsidRPr="00A33120" w:rsidRDefault="00A33120" w:rsidP="00A33120">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5B </w:t>
      </w:r>
      <w:r w:rsidRPr="00A33120">
        <w:rPr>
          <w:rFonts w:cs="Calibri"/>
          <w:b/>
          <w:sz w:val="20"/>
          <w:szCs w:val="20"/>
          <w:lang w:eastAsia="en-AU"/>
        </w:rPr>
        <w:t xml:space="preserve">Regulators are open and responsive to requests from regulated entities regarding the operation of the regulatory framework, and approaches implemented by regulators. </w:t>
      </w:r>
    </w:p>
    <w:p w14:paraId="5CC15A75" w14:textId="77777777" w:rsidR="00A33120" w:rsidRDefault="00A33120" w:rsidP="00A33120">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5C </w:t>
      </w:r>
      <w:r w:rsidRPr="00A33120">
        <w:rPr>
          <w:rFonts w:cs="Calibri"/>
          <w:b/>
          <w:sz w:val="20"/>
          <w:szCs w:val="20"/>
          <w:lang w:eastAsia="en-AU"/>
        </w:rPr>
        <w:t>Regulators’ performance measurement results are published in a timely manner to ensure accountability to the public.</w:t>
      </w:r>
    </w:p>
    <w:p w14:paraId="00B82B6D" w14:textId="77777777" w:rsidR="00336B38" w:rsidRPr="00FE7123" w:rsidRDefault="00A33120" w:rsidP="00FE7123">
      <w:pPr>
        <w:pStyle w:val="Heading4"/>
        <w:spacing w:before="240"/>
      </w:pPr>
      <w:r w:rsidRPr="00FE7123">
        <w:t>P</w:t>
      </w:r>
      <w:r w:rsidR="00336B38" w:rsidRPr="00FE7123">
        <w:t xml:space="preserve">ublicly available risk-based frameworks </w:t>
      </w:r>
    </w:p>
    <w:p w14:paraId="34669DCF" w14:textId="77777777" w:rsidR="005060D9" w:rsidRPr="00537CD6" w:rsidRDefault="005060D9" w:rsidP="00250070">
      <w:pPr>
        <w:pStyle w:val="Heading4"/>
        <w:numPr>
          <w:ilvl w:val="0"/>
          <w:numId w:val="8"/>
        </w:numPr>
        <w:rPr>
          <w:b w:val="0"/>
          <w:bCs w:val="0"/>
          <w:i w:val="0"/>
          <w:iCs w:val="0"/>
          <w:color w:val="auto"/>
          <w:szCs w:val="24"/>
        </w:rPr>
      </w:pPr>
      <w:r w:rsidRPr="00537CD6">
        <w:rPr>
          <w:b w:val="0"/>
          <w:bCs w:val="0"/>
          <w:i w:val="0"/>
          <w:iCs w:val="0"/>
          <w:color w:val="auto"/>
          <w:szCs w:val="24"/>
        </w:rPr>
        <w:t xml:space="preserve">The ACNC’s overarching risk assessment framework is articulated within the </w:t>
      </w:r>
      <w:hyperlink r:id="rId40" w:history="1">
        <w:r w:rsidRPr="00972E4C">
          <w:rPr>
            <w:rStyle w:val="Hyperlink"/>
            <w:b w:val="0"/>
            <w:i w:val="0"/>
            <w:szCs w:val="24"/>
          </w:rPr>
          <w:t>Regulatory Approach Statement</w:t>
        </w:r>
      </w:hyperlink>
      <w:r w:rsidRPr="00537CD6">
        <w:rPr>
          <w:b w:val="0"/>
          <w:bCs w:val="0"/>
          <w:i w:val="0"/>
          <w:iCs w:val="0"/>
          <w:color w:val="auto"/>
          <w:szCs w:val="24"/>
        </w:rPr>
        <w:t xml:space="preserve"> and </w:t>
      </w:r>
      <w:r w:rsidR="00250070">
        <w:rPr>
          <w:b w:val="0"/>
          <w:bCs w:val="0"/>
          <w:i w:val="0"/>
          <w:iCs w:val="0"/>
          <w:color w:val="auto"/>
          <w:szCs w:val="24"/>
        </w:rPr>
        <w:t xml:space="preserve">the </w:t>
      </w:r>
      <w:hyperlink r:id="rId41" w:history="1">
        <w:r w:rsidR="00250070" w:rsidRPr="00972E4C">
          <w:rPr>
            <w:rStyle w:val="Hyperlink"/>
            <w:b w:val="0"/>
            <w:i w:val="0"/>
            <w:szCs w:val="24"/>
          </w:rPr>
          <w:t>Commissioner’s Policy Statement: Compliance and enforcement</w:t>
        </w:r>
      </w:hyperlink>
      <w:r w:rsidR="00EC53C5" w:rsidRPr="00537CD6">
        <w:rPr>
          <w:b w:val="0"/>
          <w:bCs w:val="0"/>
          <w:i w:val="0"/>
          <w:iCs w:val="0"/>
          <w:color w:val="auto"/>
          <w:szCs w:val="24"/>
        </w:rPr>
        <w:t xml:space="preserve">. The </w:t>
      </w:r>
      <w:r w:rsidR="00250070" w:rsidRPr="00250070">
        <w:rPr>
          <w:b w:val="0"/>
          <w:bCs w:val="0"/>
          <w:i w:val="0"/>
          <w:iCs w:val="0"/>
          <w:color w:val="auto"/>
          <w:szCs w:val="24"/>
        </w:rPr>
        <w:t>Commissioner</w:t>
      </w:r>
      <w:r w:rsidR="00250070">
        <w:rPr>
          <w:b w:val="0"/>
          <w:bCs w:val="0"/>
          <w:i w:val="0"/>
          <w:iCs w:val="0"/>
          <w:color w:val="auto"/>
          <w:szCs w:val="24"/>
        </w:rPr>
        <w:t>’</w:t>
      </w:r>
      <w:r w:rsidR="00250070" w:rsidRPr="00250070">
        <w:rPr>
          <w:b w:val="0"/>
          <w:bCs w:val="0"/>
          <w:i w:val="0"/>
          <w:iCs w:val="0"/>
          <w:color w:val="auto"/>
          <w:szCs w:val="24"/>
        </w:rPr>
        <w:t>s Policy Statement: Compliance and enforcement</w:t>
      </w:r>
      <w:r w:rsidR="00EC53C5" w:rsidRPr="00537CD6">
        <w:rPr>
          <w:b w:val="0"/>
          <w:bCs w:val="0"/>
          <w:i w:val="0"/>
          <w:iCs w:val="0"/>
          <w:color w:val="auto"/>
          <w:szCs w:val="24"/>
        </w:rPr>
        <w:t xml:space="preserve"> was updated in October 2017 (to reflect the recommendations of the De</w:t>
      </w:r>
      <w:r w:rsidR="00E25D50" w:rsidRPr="00537CD6">
        <w:rPr>
          <w:b w:val="0"/>
          <w:bCs w:val="0"/>
          <w:i w:val="0"/>
          <w:iCs w:val="0"/>
          <w:color w:val="auto"/>
          <w:szCs w:val="24"/>
        </w:rPr>
        <w:t>l</w:t>
      </w:r>
      <w:r w:rsidR="00EC53C5" w:rsidRPr="00537CD6">
        <w:rPr>
          <w:b w:val="0"/>
          <w:bCs w:val="0"/>
          <w:i w:val="0"/>
          <w:iCs w:val="0"/>
          <w:color w:val="auto"/>
          <w:szCs w:val="24"/>
        </w:rPr>
        <w:t>oitte review into our compliance function</w:t>
      </w:r>
      <w:r w:rsidR="004618C3" w:rsidRPr="00537CD6">
        <w:rPr>
          <w:b w:val="0"/>
          <w:bCs w:val="0"/>
          <w:i w:val="0"/>
          <w:iCs w:val="0"/>
          <w:color w:val="auto"/>
          <w:szCs w:val="24"/>
        </w:rPr>
        <w:t>) and</w:t>
      </w:r>
      <w:r w:rsidR="00EC53C5" w:rsidRPr="00537CD6">
        <w:rPr>
          <w:b w:val="0"/>
          <w:bCs w:val="0"/>
          <w:i w:val="0"/>
          <w:iCs w:val="0"/>
          <w:color w:val="auto"/>
          <w:szCs w:val="24"/>
        </w:rPr>
        <w:t xml:space="preserve"> </w:t>
      </w:r>
      <w:r w:rsidR="004618C3" w:rsidRPr="00537CD6">
        <w:rPr>
          <w:b w:val="0"/>
          <w:bCs w:val="0"/>
          <w:i w:val="0"/>
          <w:iCs w:val="0"/>
          <w:color w:val="auto"/>
          <w:szCs w:val="24"/>
        </w:rPr>
        <w:t>was published on our website in November 2017</w:t>
      </w:r>
      <w:r w:rsidR="00C56E9F" w:rsidRPr="00537CD6">
        <w:rPr>
          <w:b w:val="0"/>
          <w:bCs w:val="0"/>
          <w:i w:val="0"/>
          <w:iCs w:val="0"/>
          <w:color w:val="auto"/>
          <w:szCs w:val="24"/>
        </w:rPr>
        <w:t>.</w:t>
      </w:r>
      <w:r w:rsidR="00165433" w:rsidRPr="00537CD6">
        <w:rPr>
          <w:b w:val="0"/>
          <w:bCs w:val="0"/>
          <w:i w:val="0"/>
          <w:iCs w:val="0"/>
          <w:color w:val="auto"/>
          <w:szCs w:val="24"/>
        </w:rPr>
        <w:t xml:space="preserve"> Three </w:t>
      </w:r>
      <w:r w:rsidR="00390CED">
        <w:rPr>
          <w:b w:val="0"/>
          <w:bCs w:val="0"/>
          <w:i w:val="0"/>
          <w:iCs w:val="0"/>
          <w:color w:val="auto"/>
          <w:szCs w:val="24"/>
        </w:rPr>
        <w:t>Operational Procedures</w:t>
      </w:r>
      <w:r w:rsidR="00165433" w:rsidRPr="00537CD6">
        <w:rPr>
          <w:b w:val="0"/>
          <w:bCs w:val="0"/>
          <w:i w:val="0"/>
          <w:iCs w:val="0"/>
          <w:color w:val="auto"/>
          <w:szCs w:val="24"/>
        </w:rPr>
        <w:t xml:space="preserve"> were also updated (refer to paragraph </w:t>
      </w:r>
      <w:r w:rsidR="00165433" w:rsidRPr="00537CD6">
        <w:rPr>
          <w:b w:val="0"/>
          <w:bCs w:val="0"/>
          <w:i w:val="0"/>
          <w:iCs w:val="0"/>
          <w:color w:val="auto"/>
          <w:szCs w:val="24"/>
        </w:rPr>
        <w:fldChar w:fldCharType="begin"/>
      </w:r>
      <w:r w:rsidR="00165433" w:rsidRPr="00537CD6">
        <w:rPr>
          <w:b w:val="0"/>
          <w:bCs w:val="0"/>
          <w:i w:val="0"/>
          <w:iCs w:val="0"/>
          <w:color w:val="auto"/>
          <w:szCs w:val="24"/>
        </w:rPr>
        <w:instrText xml:space="preserve"> REF _Ref520055201 \r \h </w:instrText>
      </w:r>
      <w:r w:rsidR="00537CD6">
        <w:rPr>
          <w:b w:val="0"/>
          <w:bCs w:val="0"/>
          <w:i w:val="0"/>
          <w:iCs w:val="0"/>
          <w:color w:val="auto"/>
          <w:szCs w:val="24"/>
        </w:rPr>
        <w:instrText xml:space="preserve"> \* MERGEFORMAT </w:instrText>
      </w:r>
      <w:r w:rsidR="00165433" w:rsidRPr="00537CD6">
        <w:rPr>
          <w:b w:val="0"/>
          <w:bCs w:val="0"/>
          <w:i w:val="0"/>
          <w:iCs w:val="0"/>
          <w:color w:val="auto"/>
          <w:szCs w:val="24"/>
        </w:rPr>
      </w:r>
      <w:r w:rsidR="00165433" w:rsidRPr="00537CD6">
        <w:rPr>
          <w:b w:val="0"/>
          <w:bCs w:val="0"/>
          <w:i w:val="0"/>
          <w:iCs w:val="0"/>
          <w:color w:val="auto"/>
          <w:szCs w:val="24"/>
        </w:rPr>
        <w:fldChar w:fldCharType="separate"/>
      </w:r>
      <w:r w:rsidR="00AE14E2">
        <w:rPr>
          <w:b w:val="0"/>
          <w:bCs w:val="0"/>
          <w:i w:val="0"/>
          <w:iCs w:val="0"/>
          <w:color w:val="auto"/>
          <w:szCs w:val="24"/>
        </w:rPr>
        <w:t>29</w:t>
      </w:r>
      <w:r w:rsidR="00165433" w:rsidRPr="00537CD6">
        <w:rPr>
          <w:b w:val="0"/>
          <w:bCs w:val="0"/>
          <w:i w:val="0"/>
          <w:iCs w:val="0"/>
          <w:color w:val="auto"/>
          <w:szCs w:val="24"/>
        </w:rPr>
        <w:fldChar w:fldCharType="end"/>
      </w:r>
      <w:r w:rsidR="00165433" w:rsidRPr="00537CD6">
        <w:rPr>
          <w:b w:val="0"/>
          <w:bCs w:val="0"/>
          <w:i w:val="0"/>
          <w:iCs w:val="0"/>
          <w:color w:val="auto"/>
          <w:szCs w:val="24"/>
        </w:rPr>
        <w:t>).</w:t>
      </w:r>
    </w:p>
    <w:p w14:paraId="5FC0E44B" w14:textId="77777777" w:rsidR="00402000" w:rsidRPr="00402000" w:rsidRDefault="00402000" w:rsidP="009D7A95">
      <w:pPr>
        <w:pStyle w:val="ListParagraph"/>
        <w:numPr>
          <w:ilvl w:val="0"/>
          <w:numId w:val="8"/>
        </w:numPr>
      </w:pPr>
      <w:r>
        <w:t xml:space="preserve">The annual ACNC Compliance Report sets out the ACNC Compliance priorities for the coming year.  This </w:t>
      </w:r>
      <w:r w:rsidR="009723ED">
        <w:t xml:space="preserve">lets the sector and the community know what risks the ACNC intends to dedicate its compliance resources to.  </w:t>
      </w:r>
    </w:p>
    <w:p w14:paraId="0602EB47" w14:textId="77777777" w:rsidR="00336B38" w:rsidRPr="00FE7123" w:rsidRDefault="00A33120" w:rsidP="00FE7123">
      <w:pPr>
        <w:pStyle w:val="Heading4"/>
      </w:pPr>
      <w:r w:rsidRPr="00FE7123">
        <w:t>T</w:t>
      </w:r>
      <w:r w:rsidR="00336B38" w:rsidRPr="00FE7123">
        <w:t xml:space="preserve">ransparency and responsiveness </w:t>
      </w:r>
    </w:p>
    <w:p w14:paraId="3908AC4E" w14:textId="77777777" w:rsidR="005227A7" w:rsidRPr="006264DA" w:rsidRDefault="00201DCE" w:rsidP="00165433">
      <w:pPr>
        <w:pStyle w:val="Heading4"/>
        <w:numPr>
          <w:ilvl w:val="0"/>
          <w:numId w:val="8"/>
        </w:numPr>
        <w:rPr>
          <w:b w:val="0"/>
          <w:bCs w:val="0"/>
          <w:i w:val="0"/>
          <w:iCs w:val="0"/>
          <w:color w:val="auto"/>
          <w:szCs w:val="24"/>
        </w:rPr>
      </w:pPr>
      <w:r w:rsidRPr="006264DA">
        <w:rPr>
          <w:b w:val="0"/>
          <w:bCs w:val="0"/>
          <w:i w:val="0"/>
          <w:iCs w:val="0"/>
          <w:color w:val="auto"/>
          <w:szCs w:val="24"/>
        </w:rPr>
        <w:t xml:space="preserve">The ACNC seeks to provide extensive information </w:t>
      </w:r>
      <w:r w:rsidR="006C764D" w:rsidRPr="006264DA">
        <w:rPr>
          <w:b w:val="0"/>
          <w:bCs w:val="0"/>
          <w:i w:val="0"/>
          <w:iCs w:val="0"/>
          <w:color w:val="auto"/>
          <w:szCs w:val="24"/>
        </w:rPr>
        <w:t xml:space="preserve">in various formats </w:t>
      </w:r>
      <w:r w:rsidRPr="006264DA">
        <w:rPr>
          <w:b w:val="0"/>
          <w:bCs w:val="0"/>
          <w:i w:val="0"/>
          <w:iCs w:val="0"/>
          <w:color w:val="auto"/>
          <w:szCs w:val="24"/>
        </w:rPr>
        <w:t xml:space="preserve">about </w:t>
      </w:r>
      <w:r w:rsidR="006C764D" w:rsidRPr="006264DA">
        <w:rPr>
          <w:b w:val="0"/>
          <w:bCs w:val="0"/>
          <w:i w:val="0"/>
          <w:iCs w:val="0"/>
          <w:color w:val="auto"/>
          <w:szCs w:val="24"/>
        </w:rPr>
        <w:t>the operation of the regulatory framework</w:t>
      </w:r>
      <w:r w:rsidRPr="006264DA">
        <w:rPr>
          <w:b w:val="0"/>
          <w:bCs w:val="0"/>
          <w:i w:val="0"/>
          <w:iCs w:val="0"/>
          <w:color w:val="auto"/>
          <w:szCs w:val="24"/>
        </w:rPr>
        <w:t xml:space="preserve">. </w:t>
      </w:r>
      <w:r w:rsidR="006C764D" w:rsidRPr="006264DA">
        <w:rPr>
          <w:b w:val="0"/>
          <w:bCs w:val="0"/>
          <w:i w:val="0"/>
          <w:iCs w:val="0"/>
          <w:color w:val="auto"/>
          <w:szCs w:val="24"/>
        </w:rPr>
        <w:t>Information was provided in 201</w:t>
      </w:r>
      <w:r w:rsidR="00165433">
        <w:rPr>
          <w:b w:val="0"/>
          <w:bCs w:val="0"/>
          <w:i w:val="0"/>
          <w:iCs w:val="0"/>
          <w:color w:val="auto"/>
          <w:szCs w:val="24"/>
        </w:rPr>
        <w:t>7</w:t>
      </w:r>
      <w:r w:rsidR="006C764D" w:rsidRPr="006264DA">
        <w:rPr>
          <w:b w:val="0"/>
          <w:bCs w:val="0"/>
          <w:i w:val="0"/>
          <w:iCs w:val="0"/>
          <w:color w:val="auto"/>
          <w:szCs w:val="24"/>
        </w:rPr>
        <w:t>-</w:t>
      </w:r>
      <w:r w:rsidR="005060D9" w:rsidRPr="006264DA">
        <w:rPr>
          <w:b w:val="0"/>
          <w:bCs w:val="0"/>
          <w:i w:val="0"/>
          <w:iCs w:val="0"/>
          <w:color w:val="auto"/>
          <w:szCs w:val="24"/>
        </w:rPr>
        <w:t>1</w:t>
      </w:r>
      <w:r w:rsidR="00165433">
        <w:rPr>
          <w:b w:val="0"/>
          <w:bCs w:val="0"/>
          <w:i w:val="0"/>
          <w:iCs w:val="0"/>
          <w:color w:val="auto"/>
          <w:szCs w:val="24"/>
        </w:rPr>
        <w:t>8</w:t>
      </w:r>
      <w:r w:rsidR="006C764D" w:rsidRPr="006264DA">
        <w:rPr>
          <w:b w:val="0"/>
          <w:bCs w:val="0"/>
          <w:i w:val="0"/>
          <w:iCs w:val="0"/>
          <w:color w:val="auto"/>
          <w:szCs w:val="24"/>
        </w:rPr>
        <w:t xml:space="preserve"> through briefing sessions</w:t>
      </w:r>
      <w:r w:rsidR="005060D9" w:rsidRPr="006264DA">
        <w:rPr>
          <w:b w:val="0"/>
          <w:bCs w:val="0"/>
          <w:i w:val="0"/>
          <w:iCs w:val="0"/>
          <w:color w:val="auto"/>
          <w:szCs w:val="24"/>
        </w:rPr>
        <w:t>, webinars</w:t>
      </w:r>
      <w:r w:rsidR="003146CD" w:rsidRPr="006264DA">
        <w:rPr>
          <w:b w:val="0"/>
          <w:bCs w:val="0"/>
          <w:i w:val="0"/>
          <w:iCs w:val="0"/>
          <w:color w:val="auto"/>
          <w:szCs w:val="24"/>
        </w:rPr>
        <w:t xml:space="preserve">, how-to videos, </w:t>
      </w:r>
      <w:r w:rsidR="005D1500">
        <w:rPr>
          <w:b w:val="0"/>
          <w:bCs w:val="0"/>
          <w:i w:val="0"/>
          <w:iCs w:val="0"/>
          <w:color w:val="auto"/>
          <w:szCs w:val="24"/>
        </w:rPr>
        <w:t>podcasts</w:t>
      </w:r>
      <w:r w:rsidR="006C764D" w:rsidRPr="006264DA">
        <w:rPr>
          <w:b w:val="0"/>
          <w:bCs w:val="0"/>
          <w:i w:val="0"/>
          <w:iCs w:val="0"/>
          <w:color w:val="auto"/>
          <w:szCs w:val="24"/>
        </w:rPr>
        <w:t xml:space="preserve">, </w:t>
      </w:r>
      <w:r w:rsidR="005D1500">
        <w:rPr>
          <w:b w:val="0"/>
          <w:bCs w:val="0"/>
          <w:i w:val="0"/>
          <w:iCs w:val="0"/>
          <w:color w:val="auto"/>
          <w:szCs w:val="24"/>
        </w:rPr>
        <w:t>guidance publications</w:t>
      </w:r>
      <w:r w:rsidR="004C367E">
        <w:rPr>
          <w:b w:val="0"/>
          <w:bCs w:val="0"/>
          <w:i w:val="0"/>
          <w:iCs w:val="0"/>
          <w:color w:val="auto"/>
          <w:szCs w:val="24"/>
        </w:rPr>
        <w:t xml:space="preserve"> and reports (such as </w:t>
      </w:r>
      <w:r w:rsidR="00165433">
        <w:rPr>
          <w:b w:val="0"/>
          <w:bCs w:val="0"/>
          <w:i w:val="0"/>
          <w:iCs w:val="0"/>
          <w:color w:val="auto"/>
          <w:szCs w:val="24"/>
        </w:rPr>
        <w:t xml:space="preserve">the </w:t>
      </w:r>
      <w:r w:rsidR="00165433" w:rsidRPr="00537CD6">
        <w:rPr>
          <w:b w:val="0"/>
          <w:bCs w:val="0"/>
          <w:iCs w:val="0"/>
          <w:color w:val="auto"/>
          <w:szCs w:val="24"/>
        </w:rPr>
        <w:t>Charity Compliance Report 2017</w:t>
      </w:r>
      <w:r w:rsidR="004C367E">
        <w:rPr>
          <w:b w:val="0"/>
          <w:bCs w:val="0"/>
          <w:i w:val="0"/>
          <w:iCs w:val="0"/>
          <w:color w:val="auto"/>
          <w:szCs w:val="24"/>
        </w:rPr>
        <w:t xml:space="preserve">). We also publish our </w:t>
      </w:r>
      <w:r w:rsidR="006C764D" w:rsidRPr="006264DA">
        <w:rPr>
          <w:b w:val="0"/>
          <w:bCs w:val="0"/>
          <w:i w:val="0"/>
          <w:iCs w:val="0"/>
          <w:color w:val="auto"/>
          <w:szCs w:val="24"/>
        </w:rPr>
        <w:t xml:space="preserve">policies and </w:t>
      </w:r>
      <w:r w:rsidR="00390CED">
        <w:rPr>
          <w:b w:val="0"/>
          <w:bCs w:val="0"/>
          <w:i w:val="0"/>
          <w:iCs w:val="0"/>
          <w:color w:val="auto"/>
          <w:szCs w:val="24"/>
        </w:rPr>
        <w:t>Operational Procedures</w:t>
      </w:r>
      <w:r w:rsidR="004C367E">
        <w:rPr>
          <w:b w:val="0"/>
          <w:bCs w:val="0"/>
          <w:i w:val="0"/>
          <w:iCs w:val="0"/>
          <w:color w:val="auto"/>
          <w:szCs w:val="24"/>
        </w:rPr>
        <w:t xml:space="preserve"> on our website</w:t>
      </w:r>
      <w:r w:rsidR="006C764D" w:rsidRPr="006264DA">
        <w:rPr>
          <w:b w:val="0"/>
          <w:bCs w:val="0"/>
          <w:i w:val="0"/>
          <w:iCs w:val="0"/>
          <w:color w:val="auto"/>
          <w:szCs w:val="24"/>
        </w:rPr>
        <w:t xml:space="preserve">. </w:t>
      </w:r>
    </w:p>
    <w:p w14:paraId="1CC6F7F1" w14:textId="77777777" w:rsidR="00537CD6" w:rsidRDefault="00537CD6" w:rsidP="00537CD6">
      <w:pPr>
        <w:pStyle w:val="Heading4"/>
        <w:numPr>
          <w:ilvl w:val="0"/>
          <w:numId w:val="8"/>
        </w:numPr>
        <w:rPr>
          <w:b w:val="0"/>
          <w:bCs w:val="0"/>
          <w:i w:val="0"/>
          <w:iCs w:val="0"/>
          <w:color w:val="auto"/>
          <w:szCs w:val="24"/>
        </w:rPr>
      </w:pPr>
      <w:r>
        <w:rPr>
          <w:b w:val="0"/>
          <w:bCs w:val="0"/>
          <w:i w:val="0"/>
          <w:iCs w:val="0"/>
          <w:color w:val="auto"/>
          <w:szCs w:val="24"/>
        </w:rPr>
        <w:t>W</w:t>
      </w:r>
      <w:r w:rsidRPr="00537CD6">
        <w:rPr>
          <w:b w:val="0"/>
          <w:bCs w:val="0"/>
          <w:i w:val="0"/>
          <w:iCs w:val="0"/>
          <w:color w:val="auto"/>
          <w:szCs w:val="24"/>
        </w:rPr>
        <w:t>here we make mistakes, the ACNC remains committed to informing charities and the public of this, ensuring transparency.</w:t>
      </w:r>
    </w:p>
    <w:p w14:paraId="18229698" w14:textId="77777777" w:rsidR="006342C6" w:rsidRPr="00EC53C5" w:rsidRDefault="006342C6" w:rsidP="00537CD6">
      <w:pPr>
        <w:pStyle w:val="Heading4"/>
        <w:numPr>
          <w:ilvl w:val="0"/>
          <w:numId w:val="8"/>
        </w:numPr>
        <w:rPr>
          <w:b w:val="0"/>
          <w:bCs w:val="0"/>
          <w:i w:val="0"/>
          <w:iCs w:val="0"/>
          <w:color w:val="auto"/>
          <w:szCs w:val="24"/>
        </w:rPr>
      </w:pPr>
      <w:r w:rsidRPr="00EC53C5">
        <w:rPr>
          <w:b w:val="0"/>
          <w:bCs w:val="0"/>
          <w:i w:val="0"/>
          <w:iCs w:val="0"/>
          <w:color w:val="auto"/>
          <w:szCs w:val="24"/>
        </w:rPr>
        <w:t xml:space="preserve">Each year, the ACNC publishes </w:t>
      </w:r>
      <w:r w:rsidR="00165433">
        <w:rPr>
          <w:b w:val="0"/>
          <w:bCs w:val="0"/>
          <w:i w:val="0"/>
          <w:iCs w:val="0"/>
          <w:color w:val="auto"/>
          <w:szCs w:val="24"/>
        </w:rPr>
        <w:t xml:space="preserve">data from our </w:t>
      </w:r>
      <w:r w:rsidRPr="00EC53C5">
        <w:rPr>
          <w:b w:val="0"/>
          <w:bCs w:val="0"/>
          <w:i w:val="0"/>
          <w:iCs w:val="0"/>
          <w:color w:val="auto"/>
          <w:szCs w:val="24"/>
        </w:rPr>
        <w:t>Annual Information Statement</w:t>
      </w:r>
      <w:r w:rsidR="00165433">
        <w:rPr>
          <w:b w:val="0"/>
          <w:bCs w:val="0"/>
          <w:i w:val="0"/>
          <w:iCs w:val="0"/>
          <w:color w:val="auto"/>
          <w:szCs w:val="24"/>
        </w:rPr>
        <w:t>s on</w:t>
      </w:r>
      <w:r w:rsidRPr="00EC53C5">
        <w:rPr>
          <w:b w:val="0"/>
          <w:bCs w:val="0"/>
          <w:i w:val="0"/>
          <w:iCs w:val="0"/>
          <w:color w:val="auto"/>
          <w:szCs w:val="24"/>
        </w:rPr>
        <w:t xml:space="preserve"> data.gov.au. In the 2016 Annual Information Statement, we asked medium and large registered charities</w:t>
      </w:r>
      <w:r w:rsidR="00C514E9">
        <w:rPr>
          <w:b w:val="0"/>
          <w:bCs w:val="0"/>
          <w:i w:val="0"/>
          <w:iCs w:val="0"/>
          <w:color w:val="auto"/>
          <w:szCs w:val="24"/>
        </w:rPr>
        <w:t xml:space="preserve"> </w:t>
      </w:r>
      <w:r w:rsidRPr="00EC53C5">
        <w:rPr>
          <w:b w:val="0"/>
          <w:bCs w:val="0"/>
          <w:i w:val="0"/>
          <w:iCs w:val="0"/>
          <w:color w:val="auto"/>
          <w:szCs w:val="24"/>
        </w:rPr>
        <w:t>if they had documented policies or processes about related party transactions. Charities could respond with either 'Y' or 'N'.</w:t>
      </w:r>
    </w:p>
    <w:p w14:paraId="01F807FC" w14:textId="77777777" w:rsidR="006342C6" w:rsidRPr="00EC53C5" w:rsidRDefault="00165433" w:rsidP="006342C6">
      <w:pPr>
        <w:pStyle w:val="Heading4"/>
        <w:numPr>
          <w:ilvl w:val="0"/>
          <w:numId w:val="8"/>
        </w:numPr>
        <w:rPr>
          <w:b w:val="0"/>
          <w:bCs w:val="0"/>
          <w:i w:val="0"/>
          <w:iCs w:val="0"/>
          <w:color w:val="auto"/>
          <w:szCs w:val="24"/>
        </w:rPr>
      </w:pPr>
      <w:r>
        <w:rPr>
          <w:b w:val="0"/>
          <w:bCs w:val="0"/>
          <w:i w:val="0"/>
          <w:iCs w:val="0"/>
          <w:color w:val="auto"/>
          <w:szCs w:val="24"/>
        </w:rPr>
        <w:t>W</w:t>
      </w:r>
      <w:r w:rsidR="006342C6" w:rsidRPr="00EC53C5">
        <w:rPr>
          <w:b w:val="0"/>
          <w:bCs w:val="0"/>
          <w:i w:val="0"/>
          <w:iCs w:val="0"/>
          <w:color w:val="auto"/>
          <w:szCs w:val="24"/>
        </w:rPr>
        <w:t>e advised that the responses to these questions would not be published. On 30 January 2018, the ACNC identified that, due to human error, the response was published as part of</w:t>
      </w:r>
      <w:r>
        <w:rPr>
          <w:b w:val="0"/>
          <w:bCs w:val="0"/>
          <w:i w:val="0"/>
          <w:iCs w:val="0"/>
          <w:color w:val="auto"/>
          <w:szCs w:val="24"/>
        </w:rPr>
        <w:t xml:space="preserve"> our 2016 </w:t>
      </w:r>
      <w:r w:rsidR="006342C6" w:rsidRPr="00EC53C5">
        <w:rPr>
          <w:b w:val="0"/>
          <w:bCs w:val="0"/>
          <w:i w:val="0"/>
          <w:iCs w:val="0"/>
          <w:color w:val="auto"/>
          <w:szCs w:val="24"/>
        </w:rPr>
        <w:t>Annual Information Statement dataset on</w:t>
      </w:r>
      <w:r w:rsidR="007B57CE">
        <w:rPr>
          <w:b w:val="0"/>
          <w:bCs w:val="0"/>
          <w:i w:val="0"/>
          <w:iCs w:val="0"/>
          <w:color w:val="auto"/>
          <w:szCs w:val="24"/>
        </w:rPr>
        <w:t xml:space="preserve"> </w:t>
      </w:r>
      <w:hyperlink r:id="rId42" w:tgtFrame="_blank" w:history="1">
        <w:r w:rsidR="006342C6" w:rsidRPr="00EC53C5">
          <w:rPr>
            <w:b w:val="0"/>
            <w:bCs w:val="0"/>
            <w:i w:val="0"/>
            <w:iCs w:val="0"/>
            <w:color w:val="auto"/>
            <w:szCs w:val="24"/>
          </w:rPr>
          <w:t>data.gov.au</w:t>
        </w:r>
      </w:hyperlink>
      <w:r w:rsidR="006342C6" w:rsidRPr="00EC53C5">
        <w:rPr>
          <w:b w:val="0"/>
          <w:bCs w:val="0"/>
          <w:i w:val="0"/>
          <w:iCs w:val="0"/>
          <w:color w:val="auto"/>
          <w:szCs w:val="24"/>
        </w:rPr>
        <w:t>. </w:t>
      </w:r>
    </w:p>
    <w:p w14:paraId="2356FBF5" w14:textId="77777777" w:rsidR="006342C6" w:rsidRPr="003D4F18" w:rsidRDefault="006342C6" w:rsidP="006342C6">
      <w:pPr>
        <w:pStyle w:val="Heading4"/>
        <w:numPr>
          <w:ilvl w:val="0"/>
          <w:numId w:val="8"/>
        </w:numPr>
        <w:rPr>
          <w:b w:val="0"/>
          <w:bCs w:val="0"/>
          <w:i w:val="0"/>
          <w:iCs w:val="0"/>
          <w:color w:val="auto"/>
          <w:szCs w:val="24"/>
        </w:rPr>
      </w:pPr>
      <w:r w:rsidRPr="00EC53C5">
        <w:rPr>
          <w:b w:val="0"/>
          <w:bCs w:val="0"/>
          <w:i w:val="0"/>
          <w:iCs w:val="0"/>
          <w:color w:val="auto"/>
          <w:szCs w:val="24"/>
        </w:rPr>
        <w:t xml:space="preserve">The file was downloaded 35 times, and we were unable to identify the users who downloaded the file. </w:t>
      </w:r>
      <w:r w:rsidRPr="003D4F18">
        <w:rPr>
          <w:b w:val="0"/>
          <w:bCs w:val="0"/>
          <w:i w:val="0"/>
          <w:iCs w:val="0"/>
          <w:color w:val="auto"/>
          <w:szCs w:val="24"/>
        </w:rPr>
        <w:t xml:space="preserve">We contacted affected charities to apologise for this </w:t>
      </w:r>
      <w:r w:rsidR="00165433" w:rsidRPr="003D4F18">
        <w:rPr>
          <w:b w:val="0"/>
          <w:bCs w:val="0"/>
          <w:i w:val="0"/>
          <w:iCs w:val="0"/>
          <w:color w:val="auto"/>
          <w:szCs w:val="24"/>
        </w:rPr>
        <w:t>error and</w:t>
      </w:r>
      <w:r w:rsidRPr="003D4F18">
        <w:rPr>
          <w:b w:val="0"/>
          <w:bCs w:val="0"/>
          <w:i w:val="0"/>
          <w:iCs w:val="0"/>
          <w:color w:val="auto"/>
          <w:szCs w:val="24"/>
        </w:rPr>
        <w:t xml:space="preserve"> </w:t>
      </w:r>
      <w:r w:rsidR="003E3BA1">
        <w:rPr>
          <w:b w:val="0"/>
          <w:bCs w:val="0"/>
          <w:i w:val="0"/>
          <w:iCs w:val="0"/>
          <w:color w:val="auto"/>
          <w:szCs w:val="24"/>
        </w:rPr>
        <w:t>are currently amending</w:t>
      </w:r>
      <w:r w:rsidRPr="003D4F18">
        <w:rPr>
          <w:b w:val="0"/>
          <w:bCs w:val="0"/>
          <w:i w:val="0"/>
          <w:iCs w:val="0"/>
          <w:color w:val="auto"/>
          <w:szCs w:val="24"/>
        </w:rPr>
        <w:t xml:space="preserve"> our procedures to </w:t>
      </w:r>
      <w:r w:rsidR="002E4EDE">
        <w:rPr>
          <w:b w:val="0"/>
          <w:bCs w:val="0"/>
          <w:i w:val="0"/>
          <w:iCs w:val="0"/>
          <w:color w:val="auto"/>
          <w:szCs w:val="24"/>
        </w:rPr>
        <w:t>mitigate such errors.</w:t>
      </w:r>
    </w:p>
    <w:p w14:paraId="5B0C9C54" w14:textId="77777777" w:rsidR="005060D9" w:rsidRPr="00925A9B" w:rsidRDefault="005060D9" w:rsidP="00BB2187">
      <w:pPr>
        <w:pStyle w:val="Heading4"/>
        <w:numPr>
          <w:ilvl w:val="0"/>
          <w:numId w:val="8"/>
        </w:numPr>
        <w:rPr>
          <w:b w:val="0"/>
          <w:bCs w:val="0"/>
          <w:i w:val="0"/>
          <w:iCs w:val="0"/>
          <w:color w:val="auto"/>
          <w:szCs w:val="24"/>
        </w:rPr>
      </w:pPr>
      <w:r w:rsidRPr="003D4F18">
        <w:rPr>
          <w:b w:val="0"/>
          <w:bCs w:val="0"/>
          <w:i w:val="0"/>
          <w:iCs w:val="0"/>
          <w:color w:val="auto"/>
          <w:szCs w:val="24"/>
        </w:rPr>
        <w:t xml:space="preserve">The ACNC </w:t>
      </w:r>
      <w:r w:rsidR="00165433">
        <w:rPr>
          <w:b w:val="0"/>
          <w:bCs w:val="0"/>
          <w:i w:val="0"/>
          <w:iCs w:val="0"/>
          <w:color w:val="auto"/>
          <w:szCs w:val="24"/>
        </w:rPr>
        <w:t xml:space="preserve">also </w:t>
      </w:r>
      <w:r w:rsidRPr="003D4F18">
        <w:rPr>
          <w:b w:val="0"/>
          <w:bCs w:val="0"/>
          <w:i w:val="0"/>
          <w:iCs w:val="0"/>
          <w:color w:val="auto"/>
          <w:szCs w:val="24"/>
        </w:rPr>
        <w:t xml:space="preserve">tries to make information available to the public outside of the formal FOI process. </w:t>
      </w:r>
      <w:r w:rsidR="00D14CFA" w:rsidRPr="003D4F18">
        <w:rPr>
          <w:b w:val="0"/>
          <w:bCs w:val="0"/>
          <w:i w:val="0"/>
          <w:iCs w:val="0"/>
          <w:color w:val="auto"/>
          <w:szCs w:val="24"/>
        </w:rPr>
        <w:t>We aim</w:t>
      </w:r>
      <w:r w:rsidRPr="003D4F18">
        <w:rPr>
          <w:b w:val="0"/>
          <w:bCs w:val="0"/>
          <w:i w:val="0"/>
          <w:iCs w:val="0"/>
          <w:color w:val="auto"/>
          <w:szCs w:val="24"/>
        </w:rPr>
        <w:t xml:space="preserve"> to respond to </w:t>
      </w:r>
      <w:r w:rsidRPr="00925A9B">
        <w:rPr>
          <w:b w:val="0"/>
          <w:bCs w:val="0"/>
          <w:i w:val="0"/>
          <w:iCs w:val="0"/>
          <w:color w:val="auto"/>
          <w:szCs w:val="24"/>
        </w:rPr>
        <w:t xml:space="preserve">general information requests (those not made under the </w:t>
      </w:r>
      <w:r w:rsidRPr="00925A9B">
        <w:rPr>
          <w:b w:val="0"/>
          <w:bCs w:val="0"/>
          <w:iCs w:val="0"/>
          <w:color w:val="auto"/>
          <w:szCs w:val="24"/>
        </w:rPr>
        <w:t>Freedom of Information Act 1982</w:t>
      </w:r>
      <w:r w:rsidRPr="00925A9B">
        <w:rPr>
          <w:b w:val="0"/>
          <w:bCs w:val="0"/>
          <w:i w:val="0"/>
          <w:iCs w:val="0"/>
          <w:color w:val="auto"/>
          <w:szCs w:val="24"/>
        </w:rPr>
        <w:t xml:space="preserve"> (FOI Act) or </w:t>
      </w:r>
      <w:r w:rsidRPr="00925A9B">
        <w:rPr>
          <w:b w:val="0"/>
          <w:bCs w:val="0"/>
          <w:iCs w:val="0"/>
          <w:color w:val="auto"/>
          <w:szCs w:val="24"/>
        </w:rPr>
        <w:t>Privacy Act 1988</w:t>
      </w:r>
      <w:r w:rsidRPr="00925A9B">
        <w:rPr>
          <w:b w:val="0"/>
          <w:bCs w:val="0"/>
          <w:i w:val="0"/>
          <w:iCs w:val="0"/>
          <w:color w:val="auto"/>
          <w:szCs w:val="24"/>
        </w:rPr>
        <w:t xml:space="preserve"> within 30 calendar days. I</w:t>
      </w:r>
      <w:r w:rsidR="003D4F18" w:rsidRPr="00925A9B">
        <w:rPr>
          <w:b w:val="0"/>
          <w:bCs w:val="0"/>
          <w:i w:val="0"/>
          <w:iCs w:val="0"/>
          <w:color w:val="auto"/>
          <w:szCs w:val="24"/>
        </w:rPr>
        <w:t>n 2017</w:t>
      </w:r>
      <w:r w:rsidRPr="00925A9B">
        <w:rPr>
          <w:b w:val="0"/>
          <w:bCs w:val="0"/>
          <w:i w:val="0"/>
          <w:iCs w:val="0"/>
          <w:color w:val="auto"/>
          <w:szCs w:val="24"/>
        </w:rPr>
        <w:t>-1</w:t>
      </w:r>
      <w:r w:rsidR="003D4F18" w:rsidRPr="00925A9B">
        <w:rPr>
          <w:b w:val="0"/>
          <w:bCs w:val="0"/>
          <w:i w:val="0"/>
          <w:iCs w:val="0"/>
          <w:color w:val="auto"/>
          <w:szCs w:val="24"/>
        </w:rPr>
        <w:t>8</w:t>
      </w:r>
      <w:r w:rsidR="00925A9B">
        <w:rPr>
          <w:b w:val="0"/>
          <w:bCs w:val="0"/>
          <w:i w:val="0"/>
          <w:iCs w:val="0"/>
          <w:color w:val="auto"/>
          <w:szCs w:val="24"/>
        </w:rPr>
        <w:t>, the ACNC responded to 100 per cent</w:t>
      </w:r>
      <w:r w:rsidRPr="00925A9B">
        <w:rPr>
          <w:b w:val="0"/>
          <w:bCs w:val="0"/>
          <w:i w:val="0"/>
          <w:iCs w:val="0"/>
          <w:color w:val="auto"/>
          <w:szCs w:val="24"/>
        </w:rPr>
        <w:t xml:space="preserve"> of information requests within </w:t>
      </w:r>
      <w:r w:rsidR="004C367E">
        <w:rPr>
          <w:b w:val="0"/>
          <w:bCs w:val="0"/>
          <w:i w:val="0"/>
          <w:iCs w:val="0"/>
          <w:color w:val="auto"/>
          <w:szCs w:val="24"/>
        </w:rPr>
        <w:t>30</w:t>
      </w:r>
      <w:r w:rsidRPr="00925A9B">
        <w:rPr>
          <w:b w:val="0"/>
          <w:bCs w:val="0"/>
          <w:i w:val="0"/>
          <w:iCs w:val="0"/>
          <w:color w:val="auto"/>
          <w:szCs w:val="24"/>
        </w:rPr>
        <w:t xml:space="preserve"> calendar days.</w:t>
      </w:r>
    </w:p>
    <w:p w14:paraId="0DD62773" w14:textId="77777777" w:rsidR="00925A9B" w:rsidRPr="00925A9B" w:rsidRDefault="00925A9B" w:rsidP="00925A9B">
      <w:pPr>
        <w:pStyle w:val="ListParagraph"/>
        <w:numPr>
          <w:ilvl w:val="0"/>
          <w:numId w:val="8"/>
        </w:numPr>
        <w:ind w:left="357" w:hanging="357"/>
        <w:contextualSpacing w:val="0"/>
        <w:rPr>
          <w:rFonts w:eastAsia="Times New Roman"/>
          <w:szCs w:val="24"/>
        </w:rPr>
      </w:pPr>
      <w:r w:rsidRPr="00925A9B">
        <w:t xml:space="preserve">100 per cent of FOI Act requests were actioned within 30 days (or 60 days where we required third </w:t>
      </w:r>
      <w:r w:rsidRPr="00925A9B">
        <w:rPr>
          <w:rFonts w:eastAsia="Times New Roman"/>
          <w:szCs w:val="24"/>
        </w:rPr>
        <w:t>party consultation). All concerns related to the Privacy Act 1988 were addressed within 30 days.</w:t>
      </w:r>
    </w:p>
    <w:p w14:paraId="6BB40D96" w14:textId="77777777" w:rsidR="00336B38" w:rsidRPr="00925A9B" w:rsidRDefault="00BE75D4" w:rsidP="00925A9B">
      <w:pPr>
        <w:pStyle w:val="ListParagraph"/>
        <w:numPr>
          <w:ilvl w:val="0"/>
          <w:numId w:val="8"/>
        </w:numPr>
        <w:spacing w:before="120"/>
        <w:ind w:left="357" w:hanging="357"/>
        <w:contextualSpacing w:val="0"/>
        <w:rPr>
          <w:szCs w:val="24"/>
        </w:rPr>
      </w:pPr>
      <w:r w:rsidRPr="00925A9B">
        <w:rPr>
          <w:szCs w:val="24"/>
        </w:rPr>
        <w:t>In 20</w:t>
      </w:r>
      <w:r w:rsidR="005D1500" w:rsidRPr="00925A9B">
        <w:rPr>
          <w:szCs w:val="24"/>
        </w:rPr>
        <w:t>17-18</w:t>
      </w:r>
      <w:r w:rsidRPr="00925A9B">
        <w:rPr>
          <w:szCs w:val="24"/>
        </w:rPr>
        <w:t xml:space="preserve">, we received </w:t>
      </w:r>
      <w:r w:rsidR="005D1500" w:rsidRPr="00925A9B">
        <w:rPr>
          <w:szCs w:val="24"/>
        </w:rPr>
        <w:t>27</w:t>
      </w:r>
      <w:r w:rsidRPr="00925A9B">
        <w:rPr>
          <w:szCs w:val="24"/>
        </w:rPr>
        <w:t xml:space="preserve"> requests for documents under the </w:t>
      </w:r>
      <w:r w:rsidR="004C367E">
        <w:rPr>
          <w:szCs w:val="24"/>
        </w:rPr>
        <w:t>FOI Act</w:t>
      </w:r>
      <w:r w:rsidR="005D1500" w:rsidRPr="00925A9B">
        <w:rPr>
          <w:szCs w:val="24"/>
        </w:rPr>
        <w:t xml:space="preserve"> compared to 14 requests in 2016-17.</w:t>
      </w:r>
      <w:r w:rsidR="00D14CFA" w:rsidRPr="00925A9B">
        <w:rPr>
          <w:szCs w:val="24"/>
        </w:rPr>
        <w:t xml:space="preserve"> </w:t>
      </w:r>
      <w:r w:rsidR="005D1500" w:rsidRPr="00925A9B">
        <w:rPr>
          <w:szCs w:val="24"/>
        </w:rPr>
        <w:t>26 requests were finalised by 30 June 2018</w:t>
      </w:r>
      <w:r w:rsidR="00D14CFA" w:rsidRPr="00925A9B">
        <w:rPr>
          <w:szCs w:val="24"/>
        </w:rPr>
        <w:t>.</w:t>
      </w:r>
    </w:p>
    <w:p w14:paraId="757A3723" w14:textId="77777777" w:rsidR="00BC6E81" w:rsidRPr="00FE7123" w:rsidRDefault="00A33120" w:rsidP="00FE7123">
      <w:pPr>
        <w:pStyle w:val="Heading4"/>
      </w:pPr>
      <w:r w:rsidRPr="00FE7123">
        <w:lastRenderedPageBreak/>
        <w:t>T</w:t>
      </w:r>
      <w:r w:rsidR="00336B38" w:rsidRPr="00FE7123">
        <w:t>imeliness in publishing performance results</w:t>
      </w:r>
    </w:p>
    <w:p w14:paraId="6CA23F76" w14:textId="77777777" w:rsidR="00D41E5A" w:rsidRDefault="00336B38" w:rsidP="006264DA">
      <w:pPr>
        <w:pStyle w:val="Heading4"/>
        <w:numPr>
          <w:ilvl w:val="0"/>
          <w:numId w:val="8"/>
        </w:numPr>
        <w:rPr>
          <w:b w:val="0"/>
          <w:bCs w:val="0"/>
          <w:i w:val="0"/>
          <w:iCs w:val="0"/>
          <w:color w:val="auto"/>
          <w:szCs w:val="24"/>
        </w:rPr>
      </w:pPr>
      <w:r w:rsidRPr="006264DA">
        <w:rPr>
          <w:b w:val="0"/>
          <w:bCs w:val="0"/>
          <w:i w:val="0"/>
          <w:iCs w:val="0"/>
          <w:color w:val="auto"/>
          <w:szCs w:val="24"/>
        </w:rPr>
        <w:t xml:space="preserve">Consistent with other Commonwealth regulators, the ACNC </w:t>
      </w:r>
      <w:r w:rsidR="00D14CFA">
        <w:rPr>
          <w:b w:val="0"/>
          <w:bCs w:val="0"/>
          <w:i w:val="0"/>
          <w:iCs w:val="0"/>
          <w:color w:val="auto"/>
          <w:szCs w:val="24"/>
        </w:rPr>
        <w:t>p</w:t>
      </w:r>
      <w:r w:rsidRPr="006264DA">
        <w:rPr>
          <w:b w:val="0"/>
          <w:bCs w:val="0"/>
          <w:i w:val="0"/>
          <w:iCs w:val="0"/>
          <w:color w:val="auto"/>
          <w:szCs w:val="24"/>
        </w:rPr>
        <w:t>ublish</w:t>
      </w:r>
      <w:r w:rsidR="00D14CFA">
        <w:rPr>
          <w:b w:val="0"/>
          <w:bCs w:val="0"/>
          <w:i w:val="0"/>
          <w:iCs w:val="0"/>
          <w:color w:val="auto"/>
          <w:szCs w:val="24"/>
        </w:rPr>
        <w:t>e</w:t>
      </w:r>
      <w:r w:rsidR="00165433">
        <w:rPr>
          <w:b w:val="0"/>
          <w:bCs w:val="0"/>
          <w:i w:val="0"/>
          <w:iCs w:val="0"/>
          <w:color w:val="auto"/>
          <w:szCs w:val="24"/>
        </w:rPr>
        <w:t xml:space="preserve">d the 2016-17 RPF report separately </w:t>
      </w:r>
      <w:r w:rsidRPr="006264DA">
        <w:rPr>
          <w:b w:val="0"/>
          <w:bCs w:val="0"/>
          <w:i w:val="0"/>
          <w:iCs w:val="0"/>
          <w:color w:val="auto"/>
          <w:szCs w:val="24"/>
        </w:rPr>
        <w:t xml:space="preserve">from </w:t>
      </w:r>
      <w:r w:rsidR="00165433">
        <w:rPr>
          <w:b w:val="0"/>
          <w:bCs w:val="0"/>
          <w:i w:val="0"/>
          <w:iCs w:val="0"/>
          <w:color w:val="auto"/>
          <w:szCs w:val="24"/>
        </w:rPr>
        <w:t xml:space="preserve">our </w:t>
      </w:r>
      <w:r w:rsidRPr="006264DA">
        <w:rPr>
          <w:b w:val="0"/>
          <w:bCs w:val="0"/>
          <w:i w:val="0"/>
          <w:iCs w:val="0"/>
          <w:color w:val="auto"/>
          <w:szCs w:val="24"/>
        </w:rPr>
        <w:t xml:space="preserve">Annual Report. </w:t>
      </w:r>
      <w:r w:rsidR="00165433">
        <w:rPr>
          <w:b w:val="0"/>
          <w:bCs w:val="0"/>
          <w:i w:val="0"/>
          <w:iCs w:val="0"/>
          <w:color w:val="auto"/>
          <w:szCs w:val="24"/>
        </w:rPr>
        <w:t xml:space="preserve">Our </w:t>
      </w:r>
      <w:r w:rsidR="00D14CFA">
        <w:rPr>
          <w:b w:val="0"/>
          <w:bCs w:val="0"/>
          <w:i w:val="0"/>
          <w:iCs w:val="0"/>
          <w:color w:val="auto"/>
          <w:szCs w:val="24"/>
        </w:rPr>
        <w:t xml:space="preserve">2016-17 </w:t>
      </w:r>
      <w:r w:rsidR="00A84264" w:rsidRPr="006264DA">
        <w:rPr>
          <w:b w:val="0"/>
          <w:bCs w:val="0"/>
          <w:i w:val="0"/>
          <w:iCs w:val="0"/>
          <w:color w:val="auto"/>
          <w:szCs w:val="24"/>
        </w:rPr>
        <w:t xml:space="preserve">Annual </w:t>
      </w:r>
      <w:r w:rsidR="00165433">
        <w:rPr>
          <w:b w:val="0"/>
          <w:bCs w:val="0"/>
          <w:i w:val="0"/>
          <w:iCs w:val="0"/>
          <w:color w:val="auto"/>
          <w:szCs w:val="24"/>
        </w:rPr>
        <w:t>R</w:t>
      </w:r>
      <w:r w:rsidR="00A84264" w:rsidRPr="006264DA">
        <w:rPr>
          <w:b w:val="0"/>
          <w:bCs w:val="0"/>
          <w:i w:val="0"/>
          <w:iCs w:val="0"/>
          <w:color w:val="auto"/>
          <w:szCs w:val="24"/>
        </w:rPr>
        <w:t>eport was tabled on 2</w:t>
      </w:r>
      <w:r w:rsidR="00D14CFA">
        <w:rPr>
          <w:b w:val="0"/>
          <w:bCs w:val="0"/>
          <w:i w:val="0"/>
          <w:iCs w:val="0"/>
          <w:color w:val="auto"/>
          <w:szCs w:val="24"/>
        </w:rPr>
        <w:t>7</w:t>
      </w:r>
      <w:r w:rsidR="00A84264" w:rsidRPr="006264DA">
        <w:rPr>
          <w:b w:val="0"/>
          <w:bCs w:val="0"/>
          <w:i w:val="0"/>
          <w:iCs w:val="0"/>
          <w:color w:val="auto"/>
          <w:szCs w:val="24"/>
        </w:rPr>
        <w:t xml:space="preserve"> October 2016 and is publicly available at annualreport.acnc.gov.au. The </w:t>
      </w:r>
      <w:hyperlink r:id="rId43" w:history="1">
        <w:r w:rsidR="007B5F0F" w:rsidRPr="00625E82">
          <w:rPr>
            <w:rStyle w:val="Hyperlink"/>
            <w:szCs w:val="24"/>
          </w:rPr>
          <w:t>201</w:t>
        </w:r>
        <w:r w:rsidR="00E22BFD" w:rsidRPr="00625E82">
          <w:rPr>
            <w:rStyle w:val="Hyperlink"/>
            <w:szCs w:val="24"/>
          </w:rPr>
          <w:t>6</w:t>
        </w:r>
        <w:r w:rsidR="007B5F0F" w:rsidRPr="00625E82">
          <w:rPr>
            <w:rStyle w:val="Hyperlink"/>
            <w:szCs w:val="24"/>
          </w:rPr>
          <w:t>-1</w:t>
        </w:r>
        <w:r w:rsidR="00E22BFD" w:rsidRPr="00625E82">
          <w:rPr>
            <w:rStyle w:val="Hyperlink"/>
            <w:szCs w:val="24"/>
          </w:rPr>
          <w:t>7</w:t>
        </w:r>
        <w:r w:rsidR="007B5F0F" w:rsidRPr="00625E82">
          <w:rPr>
            <w:rStyle w:val="Hyperlink"/>
            <w:szCs w:val="24"/>
          </w:rPr>
          <w:t xml:space="preserve"> </w:t>
        </w:r>
        <w:r w:rsidR="00A84264" w:rsidRPr="00625E82">
          <w:rPr>
            <w:rStyle w:val="Hyperlink"/>
            <w:szCs w:val="24"/>
          </w:rPr>
          <w:t>RPF report</w:t>
        </w:r>
      </w:hyperlink>
      <w:r w:rsidRPr="006264DA">
        <w:rPr>
          <w:b w:val="0"/>
          <w:bCs w:val="0"/>
          <w:i w:val="0"/>
          <w:iCs w:val="0"/>
          <w:color w:val="auto"/>
          <w:szCs w:val="24"/>
        </w:rPr>
        <w:t xml:space="preserve"> </w:t>
      </w:r>
      <w:r w:rsidR="007B3A52" w:rsidRPr="006264DA">
        <w:rPr>
          <w:b w:val="0"/>
          <w:bCs w:val="0"/>
          <w:i w:val="0"/>
          <w:iCs w:val="0"/>
          <w:color w:val="auto"/>
          <w:szCs w:val="24"/>
        </w:rPr>
        <w:t>was</w:t>
      </w:r>
      <w:r w:rsidRPr="006264DA">
        <w:rPr>
          <w:b w:val="0"/>
          <w:bCs w:val="0"/>
          <w:i w:val="0"/>
          <w:iCs w:val="0"/>
          <w:color w:val="auto"/>
          <w:szCs w:val="24"/>
        </w:rPr>
        <w:t xml:space="preserve"> </w:t>
      </w:r>
      <w:r w:rsidR="007B3A52" w:rsidRPr="006264DA">
        <w:rPr>
          <w:b w:val="0"/>
          <w:bCs w:val="0"/>
          <w:i w:val="0"/>
          <w:iCs w:val="0"/>
          <w:color w:val="auto"/>
          <w:szCs w:val="24"/>
        </w:rPr>
        <w:t>published</w:t>
      </w:r>
      <w:r w:rsidRPr="006264DA">
        <w:rPr>
          <w:b w:val="0"/>
          <w:bCs w:val="0"/>
          <w:i w:val="0"/>
          <w:iCs w:val="0"/>
          <w:color w:val="auto"/>
          <w:szCs w:val="24"/>
        </w:rPr>
        <w:t xml:space="preserve"> on </w:t>
      </w:r>
      <w:r w:rsidR="00E71D9C">
        <w:rPr>
          <w:b w:val="0"/>
          <w:bCs w:val="0"/>
          <w:i w:val="0"/>
          <w:iCs w:val="0"/>
          <w:color w:val="auto"/>
          <w:szCs w:val="24"/>
        </w:rPr>
        <w:t>our</w:t>
      </w:r>
      <w:r w:rsidRPr="006264DA">
        <w:rPr>
          <w:b w:val="0"/>
          <w:bCs w:val="0"/>
          <w:i w:val="0"/>
          <w:iCs w:val="0"/>
          <w:color w:val="auto"/>
          <w:szCs w:val="24"/>
        </w:rPr>
        <w:t xml:space="preserve"> website </w:t>
      </w:r>
      <w:r w:rsidR="00D14CFA">
        <w:rPr>
          <w:b w:val="0"/>
          <w:bCs w:val="0"/>
          <w:i w:val="0"/>
          <w:iCs w:val="0"/>
          <w:color w:val="auto"/>
          <w:szCs w:val="24"/>
        </w:rPr>
        <w:t>in December 2017</w:t>
      </w:r>
      <w:r w:rsidRPr="006264DA">
        <w:rPr>
          <w:b w:val="0"/>
          <w:bCs w:val="0"/>
          <w:i w:val="0"/>
          <w:iCs w:val="0"/>
          <w:color w:val="auto"/>
          <w:szCs w:val="24"/>
        </w:rPr>
        <w:t>.</w:t>
      </w:r>
      <w:r w:rsidR="00832677" w:rsidRPr="006264DA">
        <w:rPr>
          <w:b w:val="0"/>
          <w:bCs w:val="0"/>
          <w:i w:val="0"/>
          <w:iCs w:val="0"/>
          <w:color w:val="auto"/>
          <w:szCs w:val="24"/>
        </w:rPr>
        <w:t xml:space="preserve"> </w:t>
      </w:r>
    </w:p>
    <w:p w14:paraId="2769748D" w14:textId="77777777" w:rsidR="00D14CFA" w:rsidRPr="00D14CFA" w:rsidRDefault="00D14CFA" w:rsidP="00D14CFA">
      <w:pPr>
        <w:pStyle w:val="ListParagraph"/>
        <w:numPr>
          <w:ilvl w:val="0"/>
          <w:numId w:val="8"/>
        </w:numPr>
      </w:pPr>
      <w:r>
        <w:t xml:space="preserve">Although the 2017-18 RPF was finalised in August 2018, this report </w:t>
      </w:r>
      <w:r w:rsidR="003E3BA1">
        <w:t xml:space="preserve">will </w:t>
      </w:r>
      <w:r>
        <w:t xml:space="preserve">be published </w:t>
      </w:r>
      <w:r w:rsidR="003E3BA1">
        <w:t>separately from our Annual Report. We expect our Annual Report to be tabled in October 2018 – similar to other years</w:t>
      </w:r>
      <w:r w:rsidR="00004500">
        <w:t>;</w:t>
      </w:r>
      <w:r w:rsidR="003E3BA1">
        <w:t xml:space="preserve"> we expect this RPF report to be published on our website </w:t>
      </w:r>
      <w:r>
        <w:t xml:space="preserve">in December 2018. </w:t>
      </w:r>
    </w:p>
    <w:p w14:paraId="13A9013E" w14:textId="77777777" w:rsidR="00170386" w:rsidRDefault="00170386" w:rsidP="00170386">
      <w:pPr>
        <w:spacing w:after="0"/>
      </w:pPr>
      <w:r>
        <w:rPr>
          <w:rFonts w:eastAsia="Calibri"/>
          <w:noProof/>
          <w:lang w:eastAsia="en-AU"/>
        </w:rPr>
        <mc:AlternateContent>
          <mc:Choice Requires="wps">
            <w:drawing>
              <wp:anchor distT="0" distB="0" distL="114300" distR="114300" simplePos="0" relativeHeight="251637248" behindDoc="0" locked="0" layoutInCell="1" allowOverlap="1" wp14:anchorId="29FE579D" wp14:editId="1D73E061">
                <wp:simplePos x="0" y="0"/>
                <wp:positionH relativeFrom="column">
                  <wp:posOffset>-39370</wp:posOffset>
                </wp:positionH>
                <wp:positionV relativeFrom="paragraph">
                  <wp:posOffset>131445</wp:posOffset>
                </wp:positionV>
                <wp:extent cx="6134100" cy="1438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134100" cy="1438275"/>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972C6" id="Rectangle 8" o:spid="_x0000_s1026" style="position:absolute;margin-left:-3.1pt;margin-top:10.35pt;width:483pt;height:113.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" filled="f" strokecolor="#385d8a" strokeweight="1.25pt"/>
            </w:pict>
          </mc:Fallback>
        </mc:AlternateContent>
      </w:r>
    </w:p>
    <w:p w14:paraId="55A16DF4" w14:textId="77777777" w:rsidR="00A12979" w:rsidRDefault="00A12979" w:rsidP="00D41E5A">
      <w:pPr>
        <w:rPr>
          <w:rFonts w:eastAsia="Calibri"/>
        </w:rPr>
      </w:pPr>
      <w:r w:rsidRPr="002662BA">
        <w:rPr>
          <w:rFonts w:eastAsia="Calibri"/>
          <w:u w:val="single"/>
        </w:rPr>
        <w:t>Overall assessment:</w:t>
      </w:r>
      <w:r>
        <w:rPr>
          <w:rFonts w:eastAsia="Calibri"/>
        </w:rPr>
        <w:t xml:space="preserve"> </w:t>
      </w:r>
      <w:r>
        <w:rPr>
          <w:rFonts w:eastAsia="Calibri"/>
          <w:b/>
        </w:rPr>
        <w:t xml:space="preserve"> </w:t>
      </w:r>
      <w:r w:rsidR="00ED7865">
        <w:rPr>
          <w:rFonts w:eastAsia="Calibri"/>
          <w:b/>
        </w:rPr>
        <w:t xml:space="preserve">Very </w:t>
      </w:r>
      <w:r w:rsidR="00D41E5A">
        <w:rPr>
          <w:rFonts w:eastAsia="Calibri"/>
          <w:b/>
        </w:rPr>
        <w:t>Good</w:t>
      </w:r>
    </w:p>
    <w:p w14:paraId="2D041FF4" w14:textId="77777777" w:rsidR="00A12979" w:rsidRDefault="00A12979" w:rsidP="00D41E5A">
      <w:pPr>
        <w:rPr>
          <w:rFonts w:eastAsia="Calibri"/>
        </w:rPr>
      </w:pPr>
      <w:r w:rsidRPr="002662BA">
        <w:rPr>
          <w:rFonts w:eastAsia="Calibri"/>
          <w:u w:val="single"/>
        </w:rPr>
        <w:t>Areas for improvement:</w:t>
      </w:r>
      <w:r>
        <w:rPr>
          <w:rFonts w:eastAsia="Calibri"/>
        </w:rPr>
        <w:t xml:space="preserve"> </w:t>
      </w:r>
    </w:p>
    <w:p w14:paraId="124AA637" w14:textId="29700F04" w:rsidR="005112A7" w:rsidRDefault="00522E0C" w:rsidP="005112A7">
      <w:pPr>
        <w:pStyle w:val="ListParagraph"/>
        <w:numPr>
          <w:ilvl w:val="0"/>
          <w:numId w:val="11"/>
        </w:numPr>
        <w:rPr>
          <w:rFonts w:eastAsia="Calibri"/>
        </w:rPr>
      </w:pPr>
      <w:bookmarkStart w:id="31" w:name="_Toc464053929"/>
      <w:r>
        <w:rPr>
          <w:rFonts w:eastAsia="Calibri"/>
        </w:rPr>
        <w:t xml:space="preserve">Finalising </w:t>
      </w:r>
      <w:r w:rsidR="00C06237">
        <w:rPr>
          <w:rFonts w:eastAsia="Calibri"/>
        </w:rPr>
        <w:t>a review of</w:t>
      </w:r>
      <w:r w:rsidR="00B95978">
        <w:rPr>
          <w:rFonts w:eastAsia="Calibri"/>
        </w:rPr>
        <w:t xml:space="preserve"> the ACNC’s Regulatory Approach to confirm that it remains up-to-date and fit for purpose</w:t>
      </w:r>
    </w:p>
    <w:p w14:paraId="54D745E6" w14:textId="60D9D6E9" w:rsidR="00B95978" w:rsidRDefault="00522E0C" w:rsidP="006264DA">
      <w:pPr>
        <w:pStyle w:val="ListParagraph"/>
        <w:numPr>
          <w:ilvl w:val="0"/>
          <w:numId w:val="11"/>
        </w:numPr>
        <w:rPr>
          <w:rFonts w:eastAsia="Calibri"/>
        </w:rPr>
      </w:pPr>
      <w:r>
        <w:rPr>
          <w:rFonts w:eastAsia="Calibri"/>
        </w:rPr>
        <w:t xml:space="preserve">Updating </w:t>
      </w:r>
      <w:r w:rsidR="003E3BA1">
        <w:rPr>
          <w:rFonts w:eastAsia="Calibri"/>
        </w:rPr>
        <w:t>our procedure on publishing datasets.</w:t>
      </w:r>
    </w:p>
    <w:p w14:paraId="61A1720D" w14:textId="77777777" w:rsidR="001C62E5" w:rsidRPr="006264DA" w:rsidRDefault="001C62E5" w:rsidP="006264DA">
      <w:pPr>
        <w:pStyle w:val="ListParagraph"/>
        <w:numPr>
          <w:ilvl w:val="0"/>
          <w:numId w:val="11"/>
        </w:numPr>
        <w:rPr>
          <w:rFonts w:eastAsia="Calibri"/>
        </w:rPr>
      </w:pPr>
    </w:p>
    <w:p w14:paraId="09A15356" w14:textId="77777777" w:rsidR="00066896" w:rsidRDefault="00066896">
      <w:pPr>
        <w:spacing w:after="0"/>
        <w:rPr>
          <w:rFonts w:ascii="Arial Bold" w:hAnsi="Arial Bold"/>
          <w:b/>
          <w:bCs/>
          <w:iCs/>
          <w:color w:val="2C7890"/>
          <w:sz w:val="28"/>
          <w:szCs w:val="28"/>
          <w:lang w:eastAsia="en-AU"/>
        </w:rPr>
      </w:pPr>
    </w:p>
    <w:p w14:paraId="0D06D254" w14:textId="77777777" w:rsidR="005A5A1C" w:rsidRDefault="005A5A1C">
      <w:pPr>
        <w:spacing w:after="0"/>
        <w:rPr>
          <w:rFonts w:ascii="Arial Bold" w:hAnsi="Arial Bold"/>
          <w:b/>
          <w:bCs/>
          <w:iCs/>
          <w:color w:val="2C7890"/>
          <w:sz w:val="28"/>
          <w:szCs w:val="28"/>
          <w:lang w:eastAsia="en-AU"/>
        </w:rPr>
      </w:pPr>
      <w:r>
        <w:br w:type="page"/>
      </w:r>
    </w:p>
    <w:p w14:paraId="59BF89F3" w14:textId="77777777" w:rsidR="00BC6E81" w:rsidRDefault="00BC6E81" w:rsidP="00D41E5A">
      <w:pPr>
        <w:pStyle w:val="Heading2"/>
      </w:pPr>
      <w:bookmarkStart w:id="32" w:name="_Toc521594134"/>
      <w:r w:rsidRPr="009D77EF">
        <w:lastRenderedPageBreak/>
        <w:t>KPI 6 – Regulators</w:t>
      </w:r>
      <w:r w:rsidRPr="00DE4169">
        <w:t xml:space="preserve"> actively contribute to the continuous improvement of regulatory frameworks</w:t>
      </w:r>
      <w:bookmarkEnd w:id="31"/>
      <w:bookmarkEnd w:id="32"/>
    </w:p>
    <w:p w14:paraId="241C1A47" w14:textId="77777777" w:rsidR="00A33120" w:rsidRPr="00A33120" w:rsidRDefault="00A33120" w:rsidP="00A33120">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6A </w:t>
      </w:r>
      <w:r w:rsidRPr="00A33120">
        <w:rPr>
          <w:rFonts w:cs="Calibri"/>
          <w:b/>
          <w:sz w:val="20"/>
          <w:szCs w:val="20"/>
          <w:lang w:eastAsia="en-AU"/>
        </w:rPr>
        <w:t>Regulators establish cooperative and collaborative relationships with stakeholders to promote trust and improve the efficiency and effectiveness of the regulatory framework.</w:t>
      </w:r>
    </w:p>
    <w:p w14:paraId="6528D7F4" w14:textId="77777777" w:rsidR="00A33120" w:rsidRPr="00A33120" w:rsidRDefault="00A33120" w:rsidP="00A33120">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6B </w:t>
      </w:r>
      <w:r w:rsidRPr="00A33120">
        <w:rPr>
          <w:rFonts w:cs="Calibri"/>
          <w:b/>
          <w:sz w:val="20"/>
          <w:szCs w:val="20"/>
          <w:lang w:eastAsia="en-AU"/>
        </w:rPr>
        <w:t>Regulators engage stakeholders in the development of options to reduce compliance costs. This could include industry self-regulation, changes to the overarching regulatory framework, or other strategies to streamline monitoring and compliance approaches.</w:t>
      </w:r>
    </w:p>
    <w:p w14:paraId="6AF19463" w14:textId="77777777" w:rsidR="00C06237" w:rsidRDefault="00A33120" w:rsidP="00A33120">
      <w:pPr>
        <w:pBdr>
          <w:top w:val="single" w:sz="4" w:space="1" w:color="auto"/>
          <w:left w:val="single" w:sz="4" w:space="4" w:color="auto"/>
          <w:bottom w:val="single" w:sz="4" w:space="1" w:color="auto"/>
          <w:right w:val="single" w:sz="4" w:space="4" w:color="auto"/>
        </w:pBdr>
        <w:shd w:val="clear" w:color="auto" w:fill="E0E0E0"/>
        <w:rPr>
          <w:rFonts w:cs="Calibri"/>
          <w:b/>
          <w:sz w:val="20"/>
          <w:szCs w:val="20"/>
          <w:lang w:eastAsia="en-AU"/>
        </w:rPr>
      </w:pPr>
      <w:r>
        <w:rPr>
          <w:rFonts w:cs="Calibri"/>
          <w:b/>
          <w:sz w:val="20"/>
          <w:szCs w:val="20"/>
          <w:lang w:eastAsia="en-AU"/>
        </w:rPr>
        <w:t xml:space="preserve">6C </w:t>
      </w:r>
      <w:r w:rsidRPr="00A33120">
        <w:rPr>
          <w:rFonts w:cs="Calibri"/>
          <w:b/>
          <w:sz w:val="20"/>
          <w:szCs w:val="20"/>
          <w:lang w:eastAsia="en-AU"/>
        </w:rPr>
        <w:t>Regulators regularly share feedback from stakeholders and performance information (including from inspections) with policy departments to improve the operation of the regulatory framework and administrative processes.</w:t>
      </w:r>
    </w:p>
    <w:p w14:paraId="50D6979E" w14:textId="77777777" w:rsidR="00D95F19" w:rsidRPr="00FE7123" w:rsidRDefault="00A33120" w:rsidP="00FE7123">
      <w:pPr>
        <w:pStyle w:val="Heading4"/>
        <w:spacing w:before="240"/>
      </w:pPr>
      <w:r w:rsidRPr="00FE7123">
        <w:t>C</w:t>
      </w:r>
      <w:r w:rsidR="00D95F19" w:rsidRPr="00FE7123">
        <w:t xml:space="preserve">ooperative and collaborative relationships with stakeholders </w:t>
      </w:r>
    </w:p>
    <w:p w14:paraId="538379C4" w14:textId="77777777" w:rsidR="00CC61BC" w:rsidRPr="00E44600" w:rsidRDefault="00C06237" w:rsidP="00E44600">
      <w:pPr>
        <w:pStyle w:val="Heading4"/>
        <w:numPr>
          <w:ilvl w:val="0"/>
          <w:numId w:val="8"/>
        </w:numPr>
        <w:rPr>
          <w:b w:val="0"/>
          <w:bCs w:val="0"/>
          <w:i w:val="0"/>
          <w:iCs w:val="0"/>
          <w:color w:val="auto"/>
          <w:szCs w:val="24"/>
        </w:rPr>
      </w:pPr>
      <w:r>
        <w:rPr>
          <w:b w:val="0"/>
          <w:bCs w:val="0"/>
          <w:i w:val="0"/>
          <w:iCs w:val="0"/>
          <w:color w:val="auto"/>
          <w:szCs w:val="24"/>
        </w:rPr>
        <w:t>Since inception, t</w:t>
      </w:r>
      <w:r w:rsidR="00032E11" w:rsidRPr="00E44600">
        <w:rPr>
          <w:b w:val="0"/>
          <w:bCs w:val="0"/>
          <w:i w:val="0"/>
          <w:iCs w:val="0"/>
          <w:color w:val="auto"/>
          <w:szCs w:val="24"/>
        </w:rPr>
        <w:t>he ACNC</w:t>
      </w:r>
      <w:r w:rsidR="004C367E">
        <w:rPr>
          <w:b w:val="0"/>
          <w:bCs w:val="0"/>
          <w:i w:val="0"/>
          <w:iCs w:val="0"/>
          <w:color w:val="auto"/>
          <w:szCs w:val="24"/>
        </w:rPr>
        <w:t xml:space="preserve"> has</w:t>
      </w:r>
      <w:r w:rsidR="00032E11" w:rsidRPr="00E44600">
        <w:rPr>
          <w:b w:val="0"/>
          <w:bCs w:val="0"/>
          <w:i w:val="0"/>
          <w:iCs w:val="0"/>
          <w:color w:val="auto"/>
          <w:szCs w:val="24"/>
        </w:rPr>
        <w:t xml:space="preserve"> worked cooperatively and collaboratively with stakeholders. The </w:t>
      </w:r>
      <w:r w:rsidR="00CC61BC" w:rsidRPr="00E44600">
        <w:rPr>
          <w:b w:val="0"/>
          <w:bCs w:val="0"/>
          <w:i w:val="0"/>
          <w:iCs w:val="0"/>
          <w:color w:val="auto"/>
          <w:szCs w:val="24"/>
        </w:rPr>
        <w:t>PUG</w:t>
      </w:r>
      <w:r w:rsidR="00032E11" w:rsidRPr="00E44600">
        <w:rPr>
          <w:b w:val="0"/>
          <w:bCs w:val="0"/>
          <w:i w:val="0"/>
          <w:iCs w:val="0"/>
          <w:color w:val="auto"/>
          <w:szCs w:val="24"/>
        </w:rPr>
        <w:t xml:space="preserve"> and </w:t>
      </w:r>
      <w:r w:rsidR="00CC61BC" w:rsidRPr="00E44600">
        <w:rPr>
          <w:b w:val="0"/>
          <w:bCs w:val="0"/>
          <w:i w:val="0"/>
          <w:iCs w:val="0"/>
          <w:color w:val="auto"/>
          <w:szCs w:val="24"/>
        </w:rPr>
        <w:t>SUG</w:t>
      </w:r>
      <w:r w:rsidR="00032E11" w:rsidRPr="00E44600">
        <w:rPr>
          <w:b w:val="0"/>
          <w:bCs w:val="0"/>
          <w:i w:val="0"/>
          <w:iCs w:val="0"/>
          <w:color w:val="auto"/>
          <w:szCs w:val="24"/>
        </w:rPr>
        <w:t xml:space="preserve"> are the best </w:t>
      </w:r>
      <w:r w:rsidR="00B8124C" w:rsidRPr="00E44600">
        <w:rPr>
          <w:b w:val="0"/>
          <w:bCs w:val="0"/>
          <w:i w:val="0"/>
          <w:iCs w:val="0"/>
          <w:color w:val="auto"/>
          <w:szCs w:val="24"/>
        </w:rPr>
        <w:t>examples</w:t>
      </w:r>
      <w:r w:rsidR="00032E11" w:rsidRPr="00E44600">
        <w:rPr>
          <w:b w:val="0"/>
          <w:bCs w:val="0"/>
          <w:i w:val="0"/>
          <w:iCs w:val="0"/>
          <w:color w:val="auto"/>
          <w:szCs w:val="24"/>
        </w:rPr>
        <w:t xml:space="preserve"> of this relationship.</w:t>
      </w:r>
      <w:r w:rsidR="00B8124C" w:rsidRPr="00E44600">
        <w:rPr>
          <w:b w:val="0"/>
          <w:bCs w:val="0"/>
          <w:i w:val="0"/>
          <w:iCs w:val="0"/>
          <w:color w:val="auto"/>
          <w:szCs w:val="24"/>
        </w:rPr>
        <w:t xml:space="preserve"> </w:t>
      </w:r>
      <w:r w:rsidR="00032E11" w:rsidRPr="00E44600">
        <w:rPr>
          <w:b w:val="0"/>
          <w:bCs w:val="0"/>
          <w:i w:val="0"/>
          <w:iCs w:val="0"/>
          <w:color w:val="auto"/>
          <w:szCs w:val="24"/>
        </w:rPr>
        <w:t xml:space="preserve">Engagement with these groups </w:t>
      </w:r>
      <w:r w:rsidR="00866D2A" w:rsidRPr="00E44600">
        <w:rPr>
          <w:b w:val="0"/>
          <w:bCs w:val="0"/>
          <w:i w:val="0"/>
          <w:iCs w:val="0"/>
          <w:color w:val="auto"/>
          <w:szCs w:val="24"/>
        </w:rPr>
        <w:t>throughout</w:t>
      </w:r>
      <w:r w:rsidR="00B8124C" w:rsidRPr="00E44600">
        <w:rPr>
          <w:b w:val="0"/>
          <w:bCs w:val="0"/>
          <w:i w:val="0"/>
          <w:iCs w:val="0"/>
          <w:color w:val="auto"/>
          <w:szCs w:val="24"/>
        </w:rPr>
        <w:t xml:space="preserve"> </w:t>
      </w:r>
      <w:r>
        <w:rPr>
          <w:b w:val="0"/>
          <w:bCs w:val="0"/>
          <w:i w:val="0"/>
          <w:iCs w:val="0"/>
          <w:color w:val="auto"/>
          <w:szCs w:val="24"/>
        </w:rPr>
        <w:t>2017-18</w:t>
      </w:r>
      <w:r w:rsidR="00032E11" w:rsidRPr="00E44600">
        <w:rPr>
          <w:b w:val="0"/>
          <w:bCs w:val="0"/>
          <w:i w:val="0"/>
          <w:iCs w:val="0"/>
          <w:color w:val="auto"/>
          <w:szCs w:val="24"/>
        </w:rPr>
        <w:t xml:space="preserve"> improved the ACNC’s regulatory approac</w:t>
      </w:r>
      <w:r w:rsidR="00E60380">
        <w:rPr>
          <w:b w:val="0"/>
          <w:bCs w:val="0"/>
          <w:i w:val="0"/>
          <w:iCs w:val="0"/>
          <w:color w:val="auto"/>
          <w:szCs w:val="24"/>
        </w:rPr>
        <w:t xml:space="preserve">h, </w:t>
      </w:r>
      <w:r w:rsidR="004C367E">
        <w:rPr>
          <w:b w:val="0"/>
          <w:bCs w:val="0"/>
          <w:i w:val="0"/>
          <w:iCs w:val="0"/>
          <w:color w:val="auto"/>
          <w:szCs w:val="24"/>
        </w:rPr>
        <w:t>policies and guidance</w:t>
      </w:r>
      <w:r w:rsidR="003E3BA1">
        <w:rPr>
          <w:b w:val="0"/>
          <w:bCs w:val="0"/>
          <w:i w:val="0"/>
          <w:iCs w:val="0"/>
          <w:color w:val="auto"/>
          <w:szCs w:val="24"/>
        </w:rPr>
        <w:t xml:space="preserve"> products.</w:t>
      </w:r>
    </w:p>
    <w:p w14:paraId="75E32739" w14:textId="77777777" w:rsidR="00CC61BC" w:rsidRPr="00E44600" w:rsidRDefault="00CC61BC" w:rsidP="00E44600">
      <w:pPr>
        <w:pStyle w:val="Heading4"/>
        <w:numPr>
          <w:ilvl w:val="0"/>
          <w:numId w:val="8"/>
        </w:numPr>
        <w:rPr>
          <w:b w:val="0"/>
          <w:bCs w:val="0"/>
          <w:i w:val="0"/>
          <w:iCs w:val="0"/>
          <w:color w:val="auto"/>
          <w:szCs w:val="24"/>
        </w:rPr>
      </w:pPr>
      <w:r w:rsidRPr="00E44600">
        <w:rPr>
          <w:b w:val="0"/>
          <w:bCs w:val="0"/>
          <w:i w:val="0"/>
          <w:iCs w:val="0"/>
          <w:color w:val="auto"/>
          <w:szCs w:val="24"/>
        </w:rPr>
        <w:t xml:space="preserve">The ACNC </w:t>
      </w:r>
      <w:r w:rsidR="003D4F18">
        <w:rPr>
          <w:b w:val="0"/>
          <w:bCs w:val="0"/>
          <w:i w:val="0"/>
          <w:iCs w:val="0"/>
          <w:color w:val="auto"/>
          <w:szCs w:val="24"/>
        </w:rPr>
        <w:t xml:space="preserve">has published </w:t>
      </w:r>
      <w:r w:rsidRPr="00E44600">
        <w:rPr>
          <w:b w:val="0"/>
          <w:bCs w:val="0"/>
          <w:i w:val="0"/>
          <w:iCs w:val="0"/>
          <w:color w:val="auto"/>
          <w:szCs w:val="24"/>
        </w:rPr>
        <w:t>a stakeholder engagement framework</w:t>
      </w:r>
      <w:r w:rsidR="003D4F18">
        <w:rPr>
          <w:b w:val="0"/>
          <w:bCs w:val="0"/>
          <w:i w:val="0"/>
          <w:iCs w:val="0"/>
          <w:color w:val="auto"/>
          <w:szCs w:val="24"/>
        </w:rPr>
        <w:t xml:space="preserve">, which outlines </w:t>
      </w:r>
      <w:r w:rsidRPr="00E44600">
        <w:rPr>
          <w:b w:val="0"/>
          <w:bCs w:val="0"/>
          <w:i w:val="0"/>
          <w:iCs w:val="0"/>
          <w:color w:val="auto"/>
          <w:szCs w:val="24"/>
        </w:rPr>
        <w:t>our approach to consultation</w:t>
      </w:r>
      <w:r w:rsidR="003D4F18">
        <w:rPr>
          <w:b w:val="0"/>
          <w:bCs w:val="0"/>
          <w:i w:val="0"/>
          <w:iCs w:val="0"/>
          <w:color w:val="auto"/>
          <w:szCs w:val="24"/>
        </w:rPr>
        <w:t xml:space="preserve"> and the mechanisms we may use</w:t>
      </w:r>
      <w:r w:rsidRPr="00E44600">
        <w:rPr>
          <w:b w:val="0"/>
          <w:bCs w:val="0"/>
          <w:i w:val="0"/>
          <w:iCs w:val="0"/>
          <w:color w:val="auto"/>
          <w:szCs w:val="24"/>
        </w:rPr>
        <w:t xml:space="preserve">. It is publicly available on </w:t>
      </w:r>
      <w:r w:rsidR="00E71D9C">
        <w:rPr>
          <w:b w:val="0"/>
          <w:bCs w:val="0"/>
          <w:i w:val="0"/>
          <w:iCs w:val="0"/>
          <w:color w:val="auto"/>
          <w:szCs w:val="24"/>
        </w:rPr>
        <w:t>our website</w:t>
      </w:r>
      <w:r w:rsidR="000969B3" w:rsidRPr="00E44600">
        <w:rPr>
          <w:b w:val="0"/>
          <w:bCs w:val="0"/>
          <w:i w:val="0"/>
          <w:iCs w:val="0"/>
          <w:color w:val="auto"/>
          <w:szCs w:val="24"/>
        </w:rPr>
        <w:t xml:space="preserve"> at </w:t>
      </w:r>
      <w:hyperlink r:id="rId44" w:history="1">
        <w:r w:rsidR="000969B3" w:rsidRPr="003E3BA1">
          <w:rPr>
            <w:rStyle w:val="Hyperlink"/>
            <w:b w:val="0"/>
            <w:bCs w:val="0"/>
            <w:i w:val="0"/>
            <w:iCs w:val="0"/>
            <w:szCs w:val="24"/>
          </w:rPr>
          <w:t>acnc.gov.au/stakeholderengagement</w:t>
        </w:r>
      </w:hyperlink>
      <w:r w:rsidR="004C367E">
        <w:rPr>
          <w:b w:val="0"/>
          <w:bCs w:val="0"/>
          <w:i w:val="0"/>
          <w:iCs w:val="0"/>
          <w:color w:val="auto"/>
          <w:szCs w:val="24"/>
        </w:rPr>
        <w:t xml:space="preserve"> and contains a strong focus on </w:t>
      </w:r>
      <w:r w:rsidR="003E3BA1">
        <w:rPr>
          <w:b w:val="0"/>
          <w:bCs w:val="0"/>
          <w:i w:val="0"/>
          <w:iCs w:val="0"/>
          <w:color w:val="auto"/>
          <w:szCs w:val="24"/>
        </w:rPr>
        <w:t xml:space="preserve">reducing </w:t>
      </w:r>
      <w:r w:rsidRPr="00E44600">
        <w:rPr>
          <w:b w:val="0"/>
          <w:bCs w:val="0"/>
          <w:i w:val="0"/>
          <w:iCs w:val="0"/>
          <w:color w:val="auto"/>
          <w:szCs w:val="24"/>
        </w:rPr>
        <w:t xml:space="preserve">regulatory burden. </w:t>
      </w:r>
    </w:p>
    <w:p w14:paraId="26649970" w14:textId="77777777" w:rsidR="003D4F18" w:rsidRPr="003D4F18" w:rsidRDefault="003D4F18" w:rsidP="00BB2187">
      <w:pPr>
        <w:pStyle w:val="Heading4"/>
        <w:numPr>
          <w:ilvl w:val="0"/>
          <w:numId w:val="8"/>
        </w:numPr>
        <w:rPr>
          <w:b w:val="0"/>
          <w:bCs w:val="0"/>
          <w:i w:val="0"/>
          <w:iCs w:val="0"/>
          <w:color w:val="auto"/>
          <w:szCs w:val="24"/>
        </w:rPr>
      </w:pPr>
      <w:r w:rsidRPr="003D4F18">
        <w:rPr>
          <w:b w:val="0"/>
          <w:bCs w:val="0"/>
          <w:i w:val="0"/>
          <w:iCs w:val="0"/>
          <w:color w:val="auto"/>
          <w:szCs w:val="24"/>
        </w:rPr>
        <w:t xml:space="preserve">In February 2018, we updated our </w:t>
      </w:r>
      <w:r w:rsidR="00032E11" w:rsidRPr="003D4F18">
        <w:rPr>
          <w:b w:val="0"/>
          <w:bCs w:val="0"/>
          <w:i w:val="0"/>
          <w:iCs w:val="0"/>
          <w:color w:val="auto"/>
          <w:szCs w:val="24"/>
        </w:rPr>
        <w:t>Aboriginal and Torres Strait Islander Communities Engagement Strategy</w:t>
      </w:r>
      <w:r w:rsidR="00B95978" w:rsidRPr="003D4F18">
        <w:rPr>
          <w:b w:val="0"/>
          <w:bCs w:val="0"/>
          <w:i w:val="0"/>
          <w:iCs w:val="0"/>
          <w:color w:val="auto"/>
          <w:szCs w:val="24"/>
        </w:rPr>
        <w:t xml:space="preserve"> </w:t>
      </w:r>
      <w:r w:rsidR="00607890" w:rsidRPr="003D4F18">
        <w:rPr>
          <w:b w:val="0"/>
          <w:bCs w:val="0"/>
          <w:i w:val="0"/>
          <w:iCs w:val="0"/>
          <w:color w:val="auto"/>
          <w:szCs w:val="24"/>
        </w:rPr>
        <w:t>to reflect the ACNC’s achievements to date.</w:t>
      </w:r>
      <w:r w:rsidR="00032E11" w:rsidRPr="003D4F18">
        <w:rPr>
          <w:b w:val="0"/>
          <w:bCs w:val="0"/>
          <w:i w:val="0"/>
          <w:iCs w:val="0"/>
          <w:color w:val="auto"/>
          <w:szCs w:val="24"/>
        </w:rPr>
        <w:t xml:space="preserve"> </w:t>
      </w:r>
      <w:r w:rsidR="00607890" w:rsidRPr="003D4F18">
        <w:rPr>
          <w:b w:val="0"/>
          <w:bCs w:val="0"/>
          <w:i w:val="0"/>
          <w:iCs w:val="0"/>
          <w:color w:val="auto"/>
          <w:szCs w:val="24"/>
        </w:rPr>
        <w:t xml:space="preserve">This strategy is </w:t>
      </w:r>
      <w:r w:rsidR="00032E11" w:rsidRPr="003D4F18">
        <w:rPr>
          <w:b w:val="0"/>
          <w:bCs w:val="0"/>
          <w:i w:val="0"/>
          <w:iCs w:val="0"/>
          <w:color w:val="auto"/>
          <w:szCs w:val="24"/>
        </w:rPr>
        <w:t xml:space="preserve">publicly available at </w:t>
      </w:r>
      <w:hyperlink r:id="rId45" w:history="1">
        <w:r w:rsidR="00032E11" w:rsidRPr="003E3BA1">
          <w:rPr>
            <w:rStyle w:val="Hyperlink"/>
            <w:b w:val="0"/>
            <w:i w:val="0"/>
          </w:rPr>
          <w:t>acnc.gov.au/ATSICommunityEngagement</w:t>
        </w:r>
      </w:hyperlink>
      <w:r w:rsidR="00032E11" w:rsidRPr="00E44600">
        <w:rPr>
          <w:b w:val="0"/>
          <w:bCs w:val="0"/>
          <w:i w:val="0"/>
          <w:iCs w:val="0"/>
          <w:color w:val="auto"/>
          <w:szCs w:val="24"/>
        </w:rPr>
        <w:t>.</w:t>
      </w:r>
    </w:p>
    <w:p w14:paraId="7C5F2E88" w14:textId="77777777" w:rsidR="003D4F18" w:rsidRDefault="003D4F18" w:rsidP="00BB2187">
      <w:pPr>
        <w:pStyle w:val="Heading4"/>
        <w:numPr>
          <w:ilvl w:val="0"/>
          <w:numId w:val="8"/>
        </w:numPr>
        <w:rPr>
          <w:b w:val="0"/>
          <w:bCs w:val="0"/>
          <w:i w:val="0"/>
          <w:iCs w:val="0"/>
          <w:color w:val="auto"/>
          <w:szCs w:val="24"/>
        </w:rPr>
      </w:pPr>
      <w:r w:rsidRPr="003D4F18">
        <w:rPr>
          <w:b w:val="0"/>
          <w:bCs w:val="0"/>
          <w:i w:val="0"/>
          <w:iCs w:val="0"/>
          <w:color w:val="auto"/>
          <w:szCs w:val="24"/>
        </w:rPr>
        <w:t xml:space="preserve">The ACNC chairs the international regulators forum, which shares risk management strategies and discusses best practice regulatory approaches with charity regulators in common law countries. This includes charity regulators from the United States of America, Canada, England and Wales, Scotland, Singapore, New Zealand and Ireland. </w:t>
      </w:r>
    </w:p>
    <w:p w14:paraId="6A89173B" w14:textId="77777777" w:rsidR="003D4F18" w:rsidRPr="003D4F18" w:rsidRDefault="003D4F18" w:rsidP="003D4F18">
      <w:pPr>
        <w:pStyle w:val="Heading4"/>
        <w:numPr>
          <w:ilvl w:val="0"/>
          <w:numId w:val="8"/>
        </w:numPr>
        <w:rPr>
          <w:b w:val="0"/>
          <w:bCs w:val="0"/>
          <w:i w:val="0"/>
          <w:iCs w:val="0"/>
          <w:color w:val="auto"/>
          <w:szCs w:val="24"/>
        </w:rPr>
      </w:pPr>
      <w:bookmarkStart w:id="33" w:name="_Ref519852919"/>
      <w:r w:rsidRPr="003D4F18">
        <w:rPr>
          <w:b w:val="0"/>
          <w:bCs w:val="0"/>
          <w:i w:val="0"/>
          <w:iCs w:val="0"/>
          <w:color w:val="auto"/>
          <w:szCs w:val="24"/>
        </w:rPr>
        <w:t>We also chair a compliance forum with state and territory regulators to discuss emerging compliance themes and issues</w:t>
      </w:r>
      <w:r w:rsidR="001C62E5">
        <w:rPr>
          <w:b w:val="0"/>
          <w:bCs w:val="0"/>
          <w:i w:val="0"/>
          <w:iCs w:val="0"/>
          <w:color w:val="auto"/>
          <w:szCs w:val="24"/>
        </w:rPr>
        <w:t>,</w:t>
      </w:r>
      <w:r w:rsidRPr="003D4F18">
        <w:rPr>
          <w:b w:val="0"/>
          <w:bCs w:val="0"/>
          <w:i w:val="0"/>
          <w:iCs w:val="0"/>
          <w:color w:val="auto"/>
          <w:szCs w:val="24"/>
        </w:rPr>
        <w:t xml:space="preserve"> and consider coordinated responses to address them. These forums remain important in ensuring that we learn from each other and have helped us to identify individuals of concern and scams that have crossed jurisdictions.</w:t>
      </w:r>
      <w:bookmarkEnd w:id="33"/>
    </w:p>
    <w:p w14:paraId="284D2E24" w14:textId="77777777" w:rsidR="00D95F19" w:rsidRPr="00FE7123" w:rsidRDefault="00A33120" w:rsidP="003D4F18">
      <w:pPr>
        <w:pStyle w:val="Heading4"/>
      </w:pPr>
      <w:r w:rsidRPr="00FE7123">
        <w:t>S</w:t>
      </w:r>
      <w:r w:rsidR="00D95F19" w:rsidRPr="00FE7123">
        <w:t>takeholders are engaged in developing options to reduce compliance costs</w:t>
      </w:r>
    </w:p>
    <w:p w14:paraId="33EFF0A6" w14:textId="77777777" w:rsidR="00E44600" w:rsidRDefault="00E44600" w:rsidP="003E3BA1">
      <w:pPr>
        <w:pStyle w:val="Heading4"/>
        <w:numPr>
          <w:ilvl w:val="0"/>
          <w:numId w:val="8"/>
        </w:numPr>
        <w:spacing w:after="120"/>
        <w:rPr>
          <w:b w:val="0"/>
          <w:bCs w:val="0"/>
          <w:i w:val="0"/>
          <w:iCs w:val="0"/>
          <w:color w:val="auto"/>
          <w:szCs w:val="24"/>
        </w:rPr>
      </w:pPr>
      <w:r>
        <w:rPr>
          <w:b w:val="0"/>
          <w:bCs w:val="0"/>
          <w:i w:val="0"/>
          <w:iCs w:val="0"/>
          <w:color w:val="auto"/>
          <w:szCs w:val="24"/>
        </w:rPr>
        <w:t>The ACNC continues to engage stakeholders to i</w:t>
      </w:r>
      <w:r w:rsidR="000969B3" w:rsidRPr="00E44600">
        <w:rPr>
          <w:b w:val="0"/>
          <w:bCs w:val="0"/>
          <w:i w:val="0"/>
          <w:iCs w:val="0"/>
          <w:color w:val="auto"/>
          <w:szCs w:val="24"/>
        </w:rPr>
        <w:t>mprove the regulatory framework for charities</w:t>
      </w:r>
      <w:r>
        <w:rPr>
          <w:b w:val="0"/>
          <w:bCs w:val="0"/>
          <w:i w:val="0"/>
          <w:iCs w:val="0"/>
          <w:color w:val="auto"/>
          <w:szCs w:val="24"/>
        </w:rPr>
        <w:t xml:space="preserve"> to reduce compliance costs</w:t>
      </w:r>
      <w:r w:rsidR="000969B3" w:rsidRPr="00E44600">
        <w:rPr>
          <w:b w:val="0"/>
          <w:bCs w:val="0"/>
          <w:i w:val="0"/>
          <w:iCs w:val="0"/>
          <w:color w:val="auto"/>
          <w:szCs w:val="24"/>
        </w:rPr>
        <w:t xml:space="preserve">. </w:t>
      </w:r>
      <w:r>
        <w:rPr>
          <w:b w:val="0"/>
          <w:bCs w:val="0"/>
          <w:i w:val="0"/>
          <w:iCs w:val="0"/>
          <w:color w:val="auto"/>
          <w:szCs w:val="24"/>
        </w:rPr>
        <w:t>This includes:</w:t>
      </w:r>
    </w:p>
    <w:p w14:paraId="16EFD46B" w14:textId="77777777" w:rsidR="00E44600" w:rsidRDefault="00E44600" w:rsidP="00114AC9">
      <w:pPr>
        <w:pStyle w:val="Heading4"/>
        <w:numPr>
          <w:ilvl w:val="0"/>
          <w:numId w:val="14"/>
        </w:numPr>
        <w:spacing w:after="120"/>
        <w:ind w:left="1077" w:hanging="357"/>
        <w:rPr>
          <w:b w:val="0"/>
          <w:bCs w:val="0"/>
          <w:i w:val="0"/>
          <w:iCs w:val="0"/>
          <w:color w:val="auto"/>
          <w:szCs w:val="24"/>
        </w:rPr>
      </w:pPr>
      <w:r>
        <w:rPr>
          <w:b w:val="0"/>
          <w:bCs w:val="0"/>
          <w:i w:val="0"/>
          <w:iCs w:val="0"/>
          <w:color w:val="auto"/>
          <w:szCs w:val="24"/>
        </w:rPr>
        <w:t xml:space="preserve">the implementation of streamlined reporting requirements (refer to paragraphs </w:t>
      </w:r>
      <w:r w:rsidR="003E3BA1">
        <w:rPr>
          <w:b w:val="0"/>
          <w:bCs w:val="0"/>
          <w:i w:val="0"/>
          <w:iCs w:val="0"/>
          <w:color w:val="auto"/>
          <w:szCs w:val="24"/>
        </w:rPr>
        <w:fldChar w:fldCharType="begin"/>
      </w:r>
      <w:r w:rsidR="003E3BA1">
        <w:rPr>
          <w:b w:val="0"/>
          <w:bCs w:val="0"/>
          <w:i w:val="0"/>
          <w:iCs w:val="0"/>
          <w:color w:val="auto"/>
          <w:szCs w:val="24"/>
        </w:rPr>
        <w:instrText xml:space="preserve"> REF _Ref520054436 \r \h </w:instrText>
      </w:r>
      <w:r w:rsidR="003E3BA1">
        <w:rPr>
          <w:b w:val="0"/>
          <w:bCs w:val="0"/>
          <w:i w:val="0"/>
          <w:iCs w:val="0"/>
          <w:color w:val="auto"/>
          <w:szCs w:val="24"/>
        </w:rPr>
      </w:r>
      <w:r w:rsidR="003E3BA1">
        <w:rPr>
          <w:b w:val="0"/>
          <w:bCs w:val="0"/>
          <w:i w:val="0"/>
          <w:iCs w:val="0"/>
          <w:color w:val="auto"/>
          <w:szCs w:val="24"/>
        </w:rPr>
        <w:fldChar w:fldCharType="separate"/>
      </w:r>
      <w:r w:rsidR="00AE14E2">
        <w:rPr>
          <w:b w:val="0"/>
          <w:bCs w:val="0"/>
          <w:i w:val="0"/>
          <w:iCs w:val="0"/>
          <w:color w:val="auto"/>
          <w:szCs w:val="24"/>
        </w:rPr>
        <w:t>31</w:t>
      </w:r>
      <w:r w:rsidR="003E3BA1">
        <w:rPr>
          <w:b w:val="0"/>
          <w:bCs w:val="0"/>
          <w:i w:val="0"/>
          <w:iCs w:val="0"/>
          <w:color w:val="auto"/>
          <w:szCs w:val="24"/>
        </w:rPr>
        <w:fldChar w:fldCharType="end"/>
      </w:r>
      <w:r w:rsidR="003E3BA1">
        <w:rPr>
          <w:b w:val="0"/>
          <w:bCs w:val="0"/>
          <w:i w:val="0"/>
          <w:iCs w:val="0"/>
          <w:color w:val="auto"/>
          <w:szCs w:val="24"/>
        </w:rPr>
        <w:t>-</w:t>
      </w:r>
      <w:r w:rsidR="003E3BA1">
        <w:rPr>
          <w:b w:val="0"/>
          <w:bCs w:val="0"/>
          <w:i w:val="0"/>
          <w:iCs w:val="0"/>
          <w:color w:val="auto"/>
          <w:szCs w:val="24"/>
        </w:rPr>
        <w:fldChar w:fldCharType="begin"/>
      </w:r>
      <w:r w:rsidR="003E3BA1">
        <w:rPr>
          <w:b w:val="0"/>
          <w:bCs w:val="0"/>
          <w:i w:val="0"/>
          <w:iCs w:val="0"/>
          <w:color w:val="auto"/>
          <w:szCs w:val="24"/>
        </w:rPr>
        <w:instrText xml:space="preserve"> REF _Ref520051723 \r \h </w:instrText>
      </w:r>
      <w:r w:rsidR="003E3BA1">
        <w:rPr>
          <w:b w:val="0"/>
          <w:bCs w:val="0"/>
          <w:i w:val="0"/>
          <w:iCs w:val="0"/>
          <w:color w:val="auto"/>
          <w:szCs w:val="24"/>
        </w:rPr>
      </w:r>
      <w:r w:rsidR="003E3BA1">
        <w:rPr>
          <w:b w:val="0"/>
          <w:bCs w:val="0"/>
          <w:i w:val="0"/>
          <w:iCs w:val="0"/>
          <w:color w:val="auto"/>
          <w:szCs w:val="24"/>
        </w:rPr>
        <w:fldChar w:fldCharType="separate"/>
      </w:r>
      <w:r w:rsidR="00AE14E2">
        <w:rPr>
          <w:b w:val="0"/>
          <w:bCs w:val="0"/>
          <w:i w:val="0"/>
          <w:iCs w:val="0"/>
          <w:color w:val="auto"/>
          <w:szCs w:val="24"/>
        </w:rPr>
        <w:t>32</w:t>
      </w:r>
      <w:r w:rsidR="003E3BA1">
        <w:rPr>
          <w:b w:val="0"/>
          <w:bCs w:val="0"/>
          <w:i w:val="0"/>
          <w:iCs w:val="0"/>
          <w:color w:val="auto"/>
          <w:szCs w:val="24"/>
        </w:rPr>
        <w:fldChar w:fldCharType="end"/>
      </w:r>
      <w:r>
        <w:rPr>
          <w:b w:val="0"/>
          <w:bCs w:val="0"/>
          <w:i w:val="0"/>
          <w:iCs w:val="0"/>
          <w:color w:val="auto"/>
          <w:szCs w:val="24"/>
        </w:rPr>
        <w:t>),</w:t>
      </w:r>
    </w:p>
    <w:p w14:paraId="09B4C49F" w14:textId="77777777" w:rsidR="00E44600" w:rsidRDefault="00E44600" w:rsidP="00114AC9">
      <w:pPr>
        <w:pStyle w:val="Heading4"/>
        <w:numPr>
          <w:ilvl w:val="0"/>
          <w:numId w:val="14"/>
        </w:numPr>
        <w:spacing w:after="120"/>
        <w:rPr>
          <w:b w:val="0"/>
          <w:bCs w:val="0"/>
          <w:i w:val="0"/>
          <w:iCs w:val="0"/>
          <w:color w:val="auto"/>
          <w:szCs w:val="24"/>
        </w:rPr>
      </w:pPr>
      <w:r>
        <w:rPr>
          <w:b w:val="0"/>
          <w:bCs w:val="0"/>
          <w:i w:val="0"/>
          <w:iCs w:val="0"/>
          <w:color w:val="auto"/>
          <w:szCs w:val="24"/>
        </w:rPr>
        <w:t>engaging with other government stakeholders on compliance matters (</w:t>
      </w:r>
      <w:r w:rsidR="003E3BA1">
        <w:rPr>
          <w:b w:val="0"/>
          <w:bCs w:val="0"/>
          <w:i w:val="0"/>
          <w:iCs w:val="0"/>
          <w:color w:val="auto"/>
          <w:szCs w:val="24"/>
        </w:rPr>
        <w:t xml:space="preserve">refer to paragraph </w:t>
      </w:r>
      <w:r w:rsidR="003E3BA1">
        <w:rPr>
          <w:b w:val="0"/>
          <w:bCs w:val="0"/>
          <w:i w:val="0"/>
          <w:iCs w:val="0"/>
          <w:color w:val="auto"/>
          <w:szCs w:val="24"/>
        </w:rPr>
        <w:fldChar w:fldCharType="begin"/>
      </w:r>
      <w:r w:rsidR="003E3BA1">
        <w:rPr>
          <w:b w:val="0"/>
          <w:bCs w:val="0"/>
          <w:i w:val="0"/>
          <w:iCs w:val="0"/>
          <w:color w:val="auto"/>
          <w:szCs w:val="24"/>
        </w:rPr>
        <w:instrText xml:space="preserve"> REF _Ref520056031 \r \h </w:instrText>
      </w:r>
      <w:r w:rsidR="003E3BA1">
        <w:rPr>
          <w:b w:val="0"/>
          <w:bCs w:val="0"/>
          <w:i w:val="0"/>
          <w:iCs w:val="0"/>
          <w:color w:val="auto"/>
          <w:szCs w:val="24"/>
        </w:rPr>
      </w:r>
      <w:r w:rsidR="003E3BA1">
        <w:rPr>
          <w:b w:val="0"/>
          <w:bCs w:val="0"/>
          <w:i w:val="0"/>
          <w:iCs w:val="0"/>
          <w:color w:val="auto"/>
          <w:szCs w:val="24"/>
        </w:rPr>
        <w:fldChar w:fldCharType="separate"/>
      </w:r>
      <w:r w:rsidR="00AE14E2">
        <w:rPr>
          <w:b w:val="0"/>
          <w:bCs w:val="0"/>
          <w:i w:val="0"/>
          <w:iCs w:val="0"/>
          <w:color w:val="auto"/>
          <w:szCs w:val="24"/>
        </w:rPr>
        <w:t>73</w:t>
      </w:r>
      <w:r w:rsidR="003E3BA1">
        <w:rPr>
          <w:b w:val="0"/>
          <w:bCs w:val="0"/>
          <w:i w:val="0"/>
          <w:iCs w:val="0"/>
          <w:color w:val="auto"/>
          <w:szCs w:val="24"/>
        </w:rPr>
        <w:fldChar w:fldCharType="end"/>
      </w:r>
      <w:r w:rsidR="003E3BA1">
        <w:rPr>
          <w:b w:val="0"/>
          <w:bCs w:val="0"/>
          <w:i w:val="0"/>
          <w:iCs w:val="0"/>
          <w:color w:val="auto"/>
          <w:szCs w:val="24"/>
        </w:rPr>
        <w:t>)</w:t>
      </w:r>
    </w:p>
    <w:p w14:paraId="76E7C0A1" w14:textId="1DEE5A50" w:rsidR="003E3BA1" w:rsidRDefault="008F568B" w:rsidP="00114AC9">
      <w:pPr>
        <w:pStyle w:val="ListParagraph"/>
        <w:numPr>
          <w:ilvl w:val="0"/>
          <w:numId w:val="14"/>
        </w:numPr>
        <w:spacing w:before="120"/>
        <w:contextualSpacing w:val="0"/>
      </w:pPr>
      <w:r>
        <w:t xml:space="preserve">seeking feedback </w:t>
      </w:r>
      <w:r w:rsidR="003E3BA1">
        <w:t>through various mechanisms</w:t>
      </w:r>
      <w:r>
        <w:t xml:space="preserve"> (</w:t>
      </w:r>
      <w:r w:rsidR="003E3BA1">
        <w:t>refer to paragraphs</w:t>
      </w:r>
      <w:r>
        <w:t xml:space="preserve"> </w:t>
      </w:r>
      <w:r w:rsidR="003E3BA1">
        <w:fldChar w:fldCharType="begin"/>
      </w:r>
      <w:r w:rsidR="003E3BA1">
        <w:instrText xml:space="preserve"> REF _Ref520051818 \r \h </w:instrText>
      </w:r>
      <w:r w:rsidR="003E3BA1">
        <w:fldChar w:fldCharType="separate"/>
      </w:r>
      <w:r w:rsidR="00AE14E2">
        <w:t>18</w:t>
      </w:r>
      <w:r w:rsidR="003E3BA1">
        <w:fldChar w:fldCharType="end"/>
      </w:r>
      <w:r w:rsidR="003E3BA1">
        <w:t>-</w:t>
      </w:r>
      <w:r w:rsidR="003E3BA1">
        <w:fldChar w:fldCharType="begin"/>
      </w:r>
      <w:r w:rsidR="003E3BA1">
        <w:instrText xml:space="preserve"> REF _Ref520051822 \r \h </w:instrText>
      </w:r>
      <w:r w:rsidR="003E3BA1">
        <w:fldChar w:fldCharType="separate"/>
      </w:r>
      <w:r w:rsidR="00AE14E2">
        <w:t>19</w:t>
      </w:r>
      <w:r w:rsidR="003E3BA1">
        <w:fldChar w:fldCharType="end"/>
      </w:r>
      <w:r w:rsidR="003E3BA1">
        <w:t xml:space="preserve"> and </w:t>
      </w:r>
      <w:r w:rsidR="003E3BA1">
        <w:fldChar w:fldCharType="begin"/>
      </w:r>
      <w:r w:rsidR="003E3BA1">
        <w:instrText xml:space="preserve"> REF _Ref520052108 \r \h </w:instrText>
      </w:r>
      <w:r w:rsidR="003E3BA1">
        <w:fldChar w:fldCharType="separate"/>
      </w:r>
      <w:r w:rsidR="00AE14E2">
        <w:t>37</w:t>
      </w:r>
      <w:r w:rsidR="003E3BA1">
        <w:fldChar w:fldCharType="end"/>
      </w:r>
      <w:r w:rsidR="003E3BA1">
        <w:t>-</w:t>
      </w:r>
      <w:r w:rsidR="00972E4C">
        <w:t>3</w:t>
      </w:r>
      <w:r w:rsidR="00E96CDA">
        <w:t>8</w:t>
      </w:r>
      <w:r>
        <w:t>)</w:t>
      </w:r>
      <w:r w:rsidR="003E3BA1">
        <w:t>.</w:t>
      </w:r>
    </w:p>
    <w:p w14:paraId="33D5DB86" w14:textId="77777777" w:rsidR="003E3BA1" w:rsidRPr="003E3BA1" w:rsidRDefault="003270EA" w:rsidP="003E3BA1">
      <w:pPr>
        <w:pStyle w:val="ListParagraph"/>
        <w:numPr>
          <w:ilvl w:val="0"/>
          <w:numId w:val="8"/>
        </w:numPr>
        <w:spacing w:before="120"/>
        <w:ind w:left="357" w:hanging="357"/>
        <w:contextualSpacing w:val="0"/>
        <w:rPr>
          <w:szCs w:val="24"/>
        </w:rPr>
      </w:pPr>
      <w:bookmarkStart w:id="34" w:name="_Hlk520056227"/>
      <w:r w:rsidRPr="003E3BA1">
        <w:t xml:space="preserve">In its final report in December 2017, the Royal Commission into Institutional Responses to Child Sexual Abuse set out ten standards for making institutions in Australia child safe. It recommended that the ten child safe standards be adopted as part of the National Statement of Principles for Child Safe Organisations. The ACNC has been actively engaged as a member of the Implementation Advisory Group responsible for progressing the National Principles for Child Safe Organisations.    </w:t>
      </w:r>
    </w:p>
    <w:p w14:paraId="2E53610C" w14:textId="77777777" w:rsidR="003270EA" w:rsidRPr="003E3BA1" w:rsidRDefault="003270EA" w:rsidP="003E3BA1">
      <w:pPr>
        <w:pStyle w:val="ListParagraph"/>
        <w:numPr>
          <w:ilvl w:val="0"/>
          <w:numId w:val="8"/>
        </w:numPr>
        <w:spacing w:before="120"/>
        <w:ind w:left="357" w:hanging="357"/>
        <w:contextualSpacing w:val="0"/>
        <w:rPr>
          <w:szCs w:val="24"/>
        </w:rPr>
      </w:pPr>
      <w:r w:rsidRPr="003E3BA1">
        <w:rPr>
          <w:szCs w:val="24"/>
        </w:rPr>
        <w:t>The National Principles aim to drive a child safe culture across organisations in all sectors to protect the safety and wellbeing of children and young adults. To support this important work, the ACNC has coordinated engagement with sector representatives and sought feedback from a range of registered charities. This feedback has been provided to the Implementation Advisory Group to assist with the development of tools and resources to support child safe organisations.</w:t>
      </w:r>
    </w:p>
    <w:bookmarkEnd w:id="34"/>
    <w:p w14:paraId="4FBEDA22" w14:textId="77777777" w:rsidR="00D95F19" w:rsidRPr="00FE7123" w:rsidRDefault="00A33120" w:rsidP="00FE7123">
      <w:pPr>
        <w:pStyle w:val="Heading4"/>
      </w:pPr>
      <w:r w:rsidRPr="00FE7123">
        <w:lastRenderedPageBreak/>
        <w:t>S</w:t>
      </w:r>
      <w:r w:rsidR="00D95F19" w:rsidRPr="00FE7123">
        <w:t>takeholder feedback is shared with policy departments</w:t>
      </w:r>
    </w:p>
    <w:p w14:paraId="67C31CD8" w14:textId="77777777" w:rsidR="000969B3" w:rsidRDefault="000969B3" w:rsidP="00C06237">
      <w:pPr>
        <w:pStyle w:val="Heading4"/>
        <w:numPr>
          <w:ilvl w:val="0"/>
          <w:numId w:val="8"/>
        </w:numPr>
        <w:rPr>
          <w:b w:val="0"/>
          <w:bCs w:val="0"/>
          <w:i w:val="0"/>
          <w:iCs w:val="0"/>
          <w:color w:val="auto"/>
          <w:szCs w:val="24"/>
        </w:rPr>
      </w:pPr>
      <w:r w:rsidRPr="00C06237">
        <w:rPr>
          <w:b w:val="0"/>
          <w:bCs w:val="0"/>
          <w:i w:val="0"/>
          <w:iCs w:val="0"/>
          <w:color w:val="auto"/>
          <w:szCs w:val="24"/>
        </w:rPr>
        <w:t>The ACNC’s Stakeholder Engagement Framework</w:t>
      </w:r>
      <w:r w:rsidR="0044122E" w:rsidRPr="00C06237">
        <w:rPr>
          <w:b w:val="0"/>
          <w:bCs w:val="0"/>
          <w:i w:val="0"/>
          <w:iCs w:val="0"/>
          <w:color w:val="auto"/>
          <w:szCs w:val="24"/>
        </w:rPr>
        <w:t xml:space="preserve"> </w:t>
      </w:r>
      <w:r w:rsidRPr="00C06237">
        <w:rPr>
          <w:b w:val="0"/>
          <w:bCs w:val="0"/>
          <w:i w:val="0"/>
          <w:iCs w:val="0"/>
          <w:color w:val="auto"/>
          <w:szCs w:val="24"/>
        </w:rPr>
        <w:t>outlines how the ACN</w:t>
      </w:r>
      <w:r w:rsidR="00E71D9C">
        <w:rPr>
          <w:b w:val="0"/>
          <w:bCs w:val="0"/>
          <w:i w:val="0"/>
          <w:iCs w:val="0"/>
          <w:color w:val="auto"/>
          <w:szCs w:val="24"/>
        </w:rPr>
        <w:t>C will engage with stakeholders, recognising that ‘</w:t>
      </w:r>
      <w:r w:rsidRPr="00C06237">
        <w:rPr>
          <w:b w:val="0"/>
          <w:bCs w:val="0"/>
          <w:i w:val="0"/>
          <w:iCs w:val="0"/>
          <w:color w:val="auto"/>
          <w:szCs w:val="24"/>
        </w:rPr>
        <w:t xml:space="preserve">consulting with stakeholders and genuinely listening to what they have to say is essential to developing high-quality policy’. </w:t>
      </w:r>
    </w:p>
    <w:p w14:paraId="43368A26" w14:textId="3C4BB43F" w:rsidR="00687484" w:rsidRPr="00625E82" w:rsidRDefault="00687484">
      <w:pPr>
        <w:pStyle w:val="Heading4"/>
        <w:numPr>
          <w:ilvl w:val="0"/>
          <w:numId w:val="8"/>
        </w:numPr>
        <w:rPr>
          <w:b w:val="0"/>
          <w:bCs w:val="0"/>
          <w:i w:val="0"/>
          <w:iCs w:val="0"/>
          <w:color w:val="auto"/>
        </w:rPr>
      </w:pPr>
      <w:r w:rsidRPr="006409C6">
        <w:rPr>
          <w:b w:val="0"/>
          <w:bCs w:val="0"/>
          <w:i w:val="0"/>
          <w:iCs w:val="0"/>
          <w:color w:val="auto"/>
        </w:rPr>
        <w:t>The</w:t>
      </w:r>
      <w:r w:rsidR="000969B3" w:rsidRPr="006409C6">
        <w:rPr>
          <w:b w:val="0"/>
          <w:bCs w:val="0"/>
          <w:i w:val="0"/>
          <w:iCs w:val="0"/>
          <w:color w:val="auto"/>
        </w:rPr>
        <w:t xml:space="preserve"> ACNC </w:t>
      </w:r>
      <w:r w:rsidRPr="006409C6">
        <w:rPr>
          <w:b w:val="0"/>
          <w:bCs w:val="0"/>
          <w:i w:val="0"/>
          <w:iCs w:val="0"/>
          <w:color w:val="auto"/>
        </w:rPr>
        <w:t>continues to meet regularly with a range of government agencies to share stakeholder feedback. Some examples of these agencies include Treasury, the A</w:t>
      </w:r>
      <w:r w:rsidR="003E3BA1" w:rsidRPr="006409C6">
        <w:rPr>
          <w:b w:val="0"/>
          <w:bCs w:val="0"/>
          <w:i w:val="0"/>
          <w:iCs w:val="0"/>
          <w:color w:val="auto"/>
        </w:rPr>
        <w:t>TO</w:t>
      </w:r>
      <w:r w:rsidRPr="006409C6">
        <w:rPr>
          <w:b w:val="0"/>
          <w:bCs w:val="0"/>
          <w:i w:val="0"/>
          <w:iCs w:val="0"/>
          <w:color w:val="auto"/>
        </w:rPr>
        <w:t xml:space="preserve">, the </w:t>
      </w:r>
      <w:r w:rsidR="003270EA" w:rsidRPr="006409C6">
        <w:rPr>
          <w:b w:val="0"/>
          <w:bCs w:val="0"/>
          <w:i w:val="0"/>
          <w:iCs w:val="0"/>
          <w:color w:val="auto"/>
        </w:rPr>
        <w:t xml:space="preserve">Australian Accounting Standards Board, </w:t>
      </w:r>
      <w:r w:rsidR="00625E82">
        <w:rPr>
          <w:b w:val="0"/>
          <w:bCs w:val="0"/>
          <w:i w:val="0"/>
          <w:iCs w:val="0"/>
          <w:color w:val="auto"/>
        </w:rPr>
        <w:t xml:space="preserve">the </w:t>
      </w:r>
      <w:r w:rsidR="006409C6">
        <w:rPr>
          <w:b w:val="0"/>
          <w:bCs w:val="0"/>
          <w:i w:val="0"/>
          <w:iCs w:val="0"/>
          <w:color w:val="auto"/>
        </w:rPr>
        <w:t xml:space="preserve">Department of Finance (Cth), </w:t>
      </w:r>
      <w:r w:rsidRPr="006409C6">
        <w:rPr>
          <w:b w:val="0"/>
          <w:bCs w:val="0"/>
          <w:i w:val="0"/>
          <w:iCs w:val="0"/>
          <w:color w:val="auto"/>
        </w:rPr>
        <w:t>the Department of Education</w:t>
      </w:r>
      <w:r w:rsidR="003270EA" w:rsidRPr="006409C6">
        <w:rPr>
          <w:b w:val="0"/>
          <w:bCs w:val="0"/>
          <w:i w:val="0"/>
          <w:iCs w:val="0"/>
          <w:color w:val="auto"/>
        </w:rPr>
        <w:t xml:space="preserve"> and Training (Cth)</w:t>
      </w:r>
      <w:r w:rsidRPr="006409C6">
        <w:rPr>
          <w:b w:val="0"/>
          <w:bCs w:val="0"/>
          <w:i w:val="0"/>
          <w:iCs w:val="0"/>
          <w:color w:val="auto"/>
        </w:rPr>
        <w:t xml:space="preserve"> and the Department of Social Services</w:t>
      </w:r>
      <w:r w:rsidR="003E3BA1" w:rsidRPr="006409C6">
        <w:rPr>
          <w:b w:val="0"/>
          <w:bCs w:val="0"/>
          <w:i w:val="0"/>
          <w:iCs w:val="0"/>
          <w:color w:val="auto"/>
        </w:rPr>
        <w:t xml:space="preserve"> (Cth)</w:t>
      </w:r>
      <w:r w:rsidRPr="006409C6">
        <w:rPr>
          <w:b w:val="0"/>
          <w:bCs w:val="0"/>
          <w:i w:val="0"/>
          <w:iCs w:val="0"/>
          <w:color w:val="auto"/>
        </w:rPr>
        <w:t>.</w:t>
      </w:r>
    </w:p>
    <w:p w14:paraId="1E5E9B10" w14:textId="77777777" w:rsidR="003270EA" w:rsidRDefault="003E3BA1" w:rsidP="00C06237">
      <w:pPr>
        <w:pStyle w:val="Heading4"/>
        <w:numPr>
          <w:ilvl w:val="0"/>
          <w:numId w:val="8"/>
        </w:numPr>
        <w:rPr>
          <w:b w:val="0"/>
          <w:bCs w:val="0"/>
          <w:i w:val="0"/>
          <w:iCs w:val="0"/>
          <w:color w:val="auto"/>
          <w:szCs w:val="24"/>
        </w:rPr>
      </w:pPr>
      <w:r>
        <w:rPr>
          <w:b w:val="0"/>
          <w:bCs w:val="0"/>
          <w:i w:val="0"/>
          <w:iCs w:val="0"/>
          <w:color w:val="auto"/>
          <w:szCs w:val="24"/>
        </w:rPr>
        <w:t xml:space="preserve">The ACNC regularly meets with state </w:t>
      </w:r>
      <w:r w:rsidR="00537CD6">
        <w:rPr>
          <w:b w:val="0"/>
          <w:bCs w:val="0"/>
          <w:i w:val="0"/>
          <w:iCs w:val="0"/>
          <w:color w:val="auto"/>
          <w:szCs w:val="24"/>
        </w:rPr>
        <w:t xml:space="preserve">and territory </w:t>
      </w:r>
      <w:r>
        <w:rPr>
          <w:b w:val="0"/>
          <w:bCs w:val="0"/>
          <w:i w:val="0"/>
          <w:iCs w:val="0"/>
          <w:color w:val="auto"/>
          <w:szCs w:val="24"/>
        </w:rPr>
        <w:t xml:space="preserve">regulators. </w:t>
      </w:r>
      <w:r w:rsidR="00687484" w:rsidRPr="00C06237">
        <w:rPr>
          <w:b w:val="0"/>
          <w:bCs w:val="0"/>
          <w:i w:val="0"/>
          <w:iCs w:val="0"/>
          <w:color w:val="auto"/>
          <w:szCs w:val="24"/>
        </w:rPr>
        <w:t xml:space="preserve">As part of </w:t>
      </w:r>
      <w:r>
        <w:rPr>
          <w:b w:val="0"/>
          <w:bCs w:val="0"/>
          <w:i w:val="0"/>
          <w:iCs w:val="0"/>
          <w:color w:val="auto"/>
          <w:szCs w:val="24"/>
        </w:rPr>
        <w:t xml:space="preserve">the </w:t>
      </w:r>
      <w:r w:rsidR="00687484" w:rsidRPr="00C06237">
        <w:rPr>
          <w:b w:val="0"/>
          <w:bCs w:val="0"/>
          <w:i w:val="0"/>
          <w:iCs w:val="0"/>
          <w:color w:val="auto"/>
          <w:szCs w:val="24"/>
        </w:rPr>
        <w:t>streamlined reporting arrangements with Tasmania and South Australia, the ACNC met with representatives from these jurisdictions to discuss any issues and share stakeholder feedback.</w:t>
      </w:r>
      <w:r w:rsidR="003D4F18">
        <w:rPr>
          <w:b w:val="0"/>
          <w:bCs w:val="0"/>
          <w:i w:val="0"/>
          <w:iCs w:val="0"/>
          <w:color w:val="auto"/>
          <w:szCs w:val="24"/>
        </w:rPr>
        <w:t xml:space="preserve"> </w:t>
      </w:r>
    </w:p>
    <w:p w14:paraId="2E6F84B0" w14:textId="77777777" w:rsidR="00687484" w:rsidRPr="00C06237" w:rsidRDefault="003D4F18" w:rsidP="00C06237">
      <w:pPr>
        <w:pStyle w:val="Heading4"/>
        <w:numPr>
          <w:ilvl w:val="0"/>
          <w:numId w:val="8"/>
        </w:numPr>
        <w:rPr>
          <w:b w:val="0"/>
          <w:bCs w:val="0"/>
          <w:i w:val="0"/>
          <w:iCs w:val="0"/>
          <w:color w:val="auto"/>
          <w:szCs w:val="24"/>
        </w:rPr>
      </w:pPr>
      <w:r>
        <w:rPr>
          <w:b w:val="0"/>
          <w:bCs w:val="0"/>
          <w:i w:val="0"/>
          <w:iCs w:val="0"/>
          <w:color w:val="auto"/>
          <w:szCs w:val="24"/>
        </w:rPr>
        <w:t xml:space="preserve">The ACNC also uses the </w:t>
      </w:r>
      <w:r w:rsidRPr="003D4F18">
        <w:rPr>
          <w:b w:val="0"/>
          <w:bCs w:val="0"/>
          <w:i w:val="0"/>
          <w:iCs w:val="0"/>
          <w:color w:val="auto"/>
          <w:szCs w:val="24"/>
        </w:rPr>
        <w:t>compliance forum with state and territory regulators</w:t>
      </w:r>
      <w:r>
        <w:rPr>
          <w:b w:val="0"/>
          <w:bCs w:val="0"/>
          <w:i w:val="0"/>
          <w:iCs w:val="0"/>
          <w:color w:val="auto"/>
          <w:szCs w:val="24"/>
        </w:rPr>
        <w:t xml:space="preserve"> (refer to paragraph </w:t>
      </w:r>
      <w:r>
        <w:rPr>
          <w:b w:val="0"/>
          <w:bCs w:val="0"/>
          <w:i w:val="0"/>
          <w:iCs w:val="0"/>
          <w:color w:val="auto"/>
          <w:szCs w:val="24"/>
        </w:rPr>
        <w:fldChar w:fldCharType="begin"/>
      </w:r>
      <w:r>
        <w:rPr>
          <w:b w:val="0"/>
          <w:bCs w:val="0"/>
          <w:i w:val="0"/>
          <w:iCs w:val="0"/>
          <w:color w:val="auto"/>
          <w:szCs w:val="24"/>
        </w:rPr>
        <w:instrText xml:space="preserve"> REF _Ref519852919 \r \h </w:instrText>
      </w:r>
      <w:r>
        <w:rPr>
          <w:b w:val="0"/>
          <w:bCs w:val="0"/>
          <w:i w:val="0"/>
          <w:iCs w:val="0"/>
          <w:color w:val="auto"/>
          <w:szCs w:val="24"/>
        </w:rPr>
      </w:r>
      <w:r>
        <w:rPr>
          <w:b w:val="0"/>
          <w:bCs w:val="0"/>
          <w:i w:val="0"/>
          <w:iCs w:val="0"/>
          <w:color w:val="auto"/>
          <w:szCs w:val="24"/>
        </w:rPr>
        <w:fldChar w:fldCharType="separate"/>
      </w:r>
      <w:r w:rsidR="00AE14E2">
        <w:rPr>
          <w:b w:val="0"/>
          <w:bCs w:val="0"/>
          <w:i w:val="0"/>
          <w:iCs w:val="0"/>
          <w:color w:val="auto"/>
          <w:szCs w:val="24"/>
        </w:rPr>
        <w:t>95</w:t>
      </w:r>
      <w:r>
        <w:rPr>
          <w:b w:val="0"/>
          <w:bCs w:val="0"/>
          <w:i w:val="0"/>
          <w:iCs w:val="0"/>
          <w:color w:val="auto"/>
          <w:szCs w:val="24"/>
        </w:rPr>
        <w:fldChar w:fldCharType="end"/>
      </w:r>
      <w:r>
        <w:rPr>
          <w:b w:val="0"/>
          <w:bCs w:val="0"/>
          <w:i w:val="0"/>
          <w:iCs w:val="0"/>
          <w:color w:val="auto"/>
          <w:szCs w:val="24"/>
        </w:rPr>
        <w:t>) to share feedback from stakeholders.</w:t>
      </w:r>
    </w:p>
    <w:p w14:paraId="07421F8B" w14:textId="77777777" w:rsidR="00AB7192" w:rsidRDefault="00AB7192" w:rsidP="000969B3">
      <w:pPr>
        <w:spacing w:after="0"/>
      </w:pPr>
      <w:r>
        <w:rPr>
          <w:rFonts w:eastAsia="Calibri"/>
          <w:noProof/>
          <w:lang w:eastAsia="en-AU"/>
        </w:rPr>
        <mc:AlternateContent>
          <mc:Choice Requires="wps">
            <w:drawing>
              <wp:anchor distT="0" distB="0" distL="114300" distR="114300" simplePos="0" relativeHeight="251641344" behindDoc="0" locked="0" layoutInCell="1" allowOverlap="1" wp14:anchorId="0173A183" wp14:editId="4C07E1E0">
                <wp:simplePos x="0" y="0"/>
                <wp:positionH relativeFrom="column">
                  <wp:posOffset>-58420</wp:posOffset>
                </wp:positionH>
                <wp:positionV relativeFrom="paragraph">
                  <wp:posOffset>118745</wp:posOffset>
                </wp:positionV>
                <wp:extent cx="6134100" cy="1095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134100" cy="1095375"/>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3F40F" id="Rectangle 9" o:spid="_x0000_s1026" style="position:absolute;margin-left:-4.6pt;margin-top:9.35pt;width:483pt;height:86.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" filled="f" strokecolor="#385d8a" strokeweight="1.25pt"/>
            </w:pict>
          </mc:Fallback>
        </mc:AlternateContent>
      </w:r>
    </w:p>
    <w:p w14:paraId="0EC0D58A" w14:textId="77777777" w:rsidR="00AB7192" w:rsidRDefault="00AB7192" w:rsidP="00AB7192">
      <w:pPr>
        <w:rPr>
          <w:rFonts w:eastAsia="Calibri"/>
        </w:rPr>
      </w:pPr>
      <w:r w:rsidRPr="002662BA">
        <w:rPr>
          <w:rFonts w:eastAsia="Calibri"/>
          <w:u w:val="single"/>
        </w:rPr>
        <w:t>Overall assessment:</w:t>
      </w:r>
      <w:r>
        <w:rPr>
          <w:rFonts w:eastAsia="Calibri"/>
        </w:rPr>
        <w:t xml:space="preserve"> </w:t>
      </w:r>
      <w:r>
        <w:rPr>
          <w:rFonts w:eastAsia="Calibri"/>
          <w:b/>
        </w:rPr>
        <w:t xml:space="preserve"> </w:t>
      </w:r>
      <w:r w:rsidR="00ED7865">
        <w:rPr>
          <w:rFonts w:eastAsia="Calibri"/>
          <w:b/>
        </w:rPr>
        <w:t xml:space="preserve">Very </w:t>
      </w:r>
      <w:r>
        <w:rPr>
          <w:rFonts w:eastAsia="Calibri"/>
          <w:b/>
        </w:rPr>
        <w:t>Good</w:t>
      </w:r>
    </w:p>
    <w:p w14:paraId="16CCD1E6" w14:textId="77777777" w:rsidR="00AB7192" w:rsidRDefault="00AB7192" w:rsidP="00AB7192">
      <w:pPr>
        <w:rPr>
          <w:rFonts w:eastAsia="Calibri"/>
        </w:rPr>
      </w:pPr>
      <w:r w:rsidRPr="002662BA">
        <w:rPr>
          <w:rFonts w:eastAsia="Calibri"/>
          <w:u w:val="single"/>
        </w:rPr>
        <w:t>Areas for improvement:</w:t>
      </w:r>
      <w:r>
        <w:rPr>
          <w:rFonts w:eastAsia="Calibri"/>
        </w:rPr>
        <w:t xml:space="preserve"> </w:t>
      </w:r>
    </w:p>
    <w:p w14:paraId="4A9D11F6" w14:textId="3F4E9686" w:rsidR="00E60380" w:rsidRPr="00D37E3D" w:rsidRDefault="004B4A9F" w:rsidP="00E60380">
      <w:pPr>
        <w:pStyle w:val="ListParagraph"/>
        <w:numPr>
          <w:ilvl w:val="0"/>
          <w:numId w:val="11"/>
        </w:numPr>
        <w:rPr>
          <w:rFonts w:eastAsia="Calibri"/>
        </w:rPr>
      </w:pPr>
      <w:r>
        <w:rPr>
          <w:rFonts w:eastAsia="Calibri"/>
        </w:rPr>
        <w:t xml:space="preserve">Continuing </w:t>
      </w:r>
      <w:r w:rsidR="00310B5D">
        <w:rPr>
          <w:rFonts w:eastAsia="Calibri"/>
        </w:rPr>
        <w:t xml:space="preserve">to </w:t>
      </w:r>
      <w:r w:rsidR="00310B5D" w:rsidRPr="00AA5705">
        <w:rPr>
          <w:rFonts w:eastAsia="Calibri"/>
        </w:rPr>
        <w:t xml:space="preserve">work with </w:t>
      </w:r>
      <w:r w:rsidR="00310B5D">
        <w:rPr>
          <w:rFonts w:eastAsia="Calibri"/>
        </w:rPr>
        <w:t xml:space="preserve">federal, </w:t>
      </w:r>
      <w:r w:rsidR="00310B5D" w:rsidRPr="00AA5705">
        <w:rPr>
          <w:rFonts w:eastAsia="Calibri"/>
        </w:rPr>
        <w:t>state and territory regulators</w:t>
      </w:r>
      <w:r w:rsidR="00310B5D">
        <w:rPr>
          <w:rFonts w:eastAsia="Calibri"/>
        </w:rPr>
        <w:t xml:space="preserve"> to eliminate</w:t>
      </w:r>
      <w:r w:rsidR="00310B5D" w:rsidRPr="00AA5705">
        <w:rPr>
          <w:rFonts w:eastAsia="Calibri"/>
        </w:rPr>
        <w:t xml:space="preserve"> duplicated reporting</w:t>
      </w:r>
      <w:r w:rsidR="00E60380">
        <w:rPr>
          <w:rFonts w:eastAsia="Calibri"/>
        </w:rPr>
        <w:t xml:space="preserve">  </w:t>
      </w:r>
      <w:r w:rsidR="00E60380" w:rsidRPr="00AA5705">
        <w:rPr>
          <w:rFonts w:eastAsia="Calibri"/>
        </w:rPr>
        <w:t xml:space="preserve"> </w:t>
      </w:r>
    </w:p>
    <w:p w14:paraId="06C6E70F" w14:textId="1D3CC3BE" w:rsidR="00E819A3" w:rsidRPr="00856317" w:rsidRDefault="004B4A9F" w:rsidP="00E60380">
      <w:pPr>
        <w:pStyle w:val="ListParagraph"/>
        <w:numPr>
          <w:ilvl w:val="0"/>
          <w:numId w:val="11"/>
        </w:numPr>
        <w:rPr>
          <w:rFonts w:eastAsia="Calibri"/>
        </w:rPr>
        <w:sectPr w:rsidR="00E819A3" w:rsidRPr="00856317" w:rsidSect="00066896">
          <w:headerReference w:type="first" r:id="rId46"/>
          <w:footerReference w:type="first" r:id="rId47"/>
          <w:pgSz w:w="11900" w:h="16840"/>
          <w:pgMar w:top="993" w:right="1247" w:bottom="1135" w:left="1247" w:header="709" w:footer="709" w:gutter="0"/>
          <w:cols w:space="708"/>
          <w:titlePg/>
          <w:docGrid w:linePitch="360"/>
        </w:sectPr>
      </w:pPr>
      <w:r>
        <w:rPr>
          <w:rFonts w:eastAsia="Calibri"/>
        </w:rPr>
        <w:t>Continuing</w:t>
      </w:r>
      <w:r w:rsidRPr="00202D2D">
        <w:rPr>
          <w:rFonts w:eastAsia="Calibri"/>
        </w:rPr>
        <w:t xml:space="preserve"> </w:t>
      </w:r>
      <w:r w:rsidR="00245C2B" w:rsidRPr="00202D2D">
        <w:rPr>
          <w:rFonts w:eastAsia="Calibri"/>
        </w:rPr>
        <w:t>to improve the provision of feedback to policy department</w:t>
      </w:r>
      <w:r w:rsidR="00310B5D">
        <w:rPr>
          <w:rFonts w:eastAsia="Calibri"/>
        </w:rPr>
        <w:t>s.</w:t>
      </w:r>
    </w:p>
    <w:p w14:paraId="179AD204" w14:textId="77777777" w:rsidR="00CF718B" w:rsidRPr="00856317" w:rsidRDefault="00CF718B" w:rsidP="00CF718B">
      <w:pPr>
        <w:pStyle w:val="Heading1"/>
        <w:rPr>
          <w:sz w:val="36"/>
          <w:szCs w:val="36"/>
        </w:rPr>
      </w:pPr>
      <w:bookmarkStart w:id="35" w:name="_Toc521594135"/>
      <w:r w:rsidRPr="00856317">
        <w:rPr>
          <w:sz w:val="36"/>
          <w:szCs w:val="36"/>
        </w:rPr>
        <w:lastRenderedPageBreak/>
        <w:t>Appendix A:</w:t>
      </w:r>
      <w:r w:rsidRPr="00856317">
        <w:rPr>
          <w:sz w:val="36"/>
          <w:szCs w:val="36"/>
        </w:rPr>
        <w:tab/>
      </w:r>
      <w:r w:rsidR="00EF18C0">
        <w:rPr>
          <w:sz w:val="36"/>
          <w:szCs w:val="36"/>
        </w:rPr>
        <w:t>Analysis of our metrics</w:t>
      </w:r>
      <w:bookmarkEnd w:id="35"/>
      <w:r w:rsidR="00EF18C0">
        <w:rPr>
          <w:sz w:val="36"/>
          <w:szCs w:val="36"/>
        </w:rPr>
        <w:tab/>
      </w:r>
      <w:r w:rsidRPr="00856317">
        <w:rPr>
          <w:sz w:val="36"/>
          <w:szCs w:val="36"/>
        </w:rPr>
        <w:t xml:space="preserve"> </w:t>
      </w:r>
    </w:p>
    <w:p w14:paraId="29779356" w14:textId="77777777" w:rsidR="00856317" w:rsidRPr="00856317" w:rsidRDefault="002E196A" w:rsidP="00856317">
      <w:pPr>
        <w:pStyle w:val="Heading4"/>
        <w:rPr>
          <w:i w:val="0"/>
          <w:sz w:val="32"/>
          <w:szCs w:val="32"/>
        </w:rPr>
      </w:pPr>
      <w:r w:rsidRPr="00CF718B">
        <w:rPr>
          <w:i w:val="0"/>
          <w:sz w:val="32"/>
          <w:szCs w:val="32"/>
        </w:rPr>
        <w:t>Regulator Performance Framework – ACNC Metrics – 201</w:t>
      </w:r>
      <w:r w:rsidR="00CF718B">
        <w:rPr>
          <w:i w:val="0"/>
          <w:sz w:val="32"/>
          <w:szCs w:val="32"/>
        </w:rPr>
        <w:t>7</w:t>
      </w:r>
      <w:r w:rsidRPr="00CF718B">
        <w:rPr>
          <w:i w:val="0"/>
          <w:sz w:val="32"/>
          <w:szCs w:val="32"/>
        </w:rPr>
        <w:t>-1</w:t>
      </w:r>
      <w:r w:rsidR="00CF718B">
        <w:rPr>
          <w:i w:val="0"/>
          <w:sz w:val="32"/>
          <w:szCs w:val="32"/>
        </w:rPr>
        <w:t>8</w:t>
      </w:r>
      <w:r w:rsidRPr="00CF718B">
        <w:rPr>
          <w:i w:val="0"/>
          <w:sz w:val="32"/>
          <w:szCs w:val="32"/>
        </w:rPr>
        <w:t xml:space="preserve"> Results</w:t>
      </w:r>
    </w:p>
    <w:p w14:paraId="6B5C0057" w14:textId="77777777" w:rsidR="00856317" w:rsidRPr="008C1E72" w:rsidRDefault="00856317" w:rsidP="00856317">
      <w:pPr>
        <w:framePr w:hSpace="180" w:wrap="around" w:vAnchor="text" w:hAnchor="text" w:y="1"/>
        <w:suppressOverlap/>
        <w:rPr>
          <w:rFonts w:asciiTheme="minorHAnsi" w:hAnsiTheme="minorHAnsi" w:cstheme="minorHAnsi"/>
          <w:b/>
          <w:color w:val="1F497D" w:themeColor="text2"/>
          <w:sz w:val="20"/>
          <w:szCs w:val="20"/>
          <w:lang w:val="en-GB"/>
        </w:rPr>
      </w:pPr>
      <w:r w:rsidRPr="008C1E72">
        <w:rPr>
          <w:rFonts w:asciiTheme="minorHAnsi" w:hAnsiTheme="minorHAnsi" w:cstheme="minorHAnsi"/>
          <w:b/>
          <w:sz w:val="20"/>
          <w:szCs w:val="20"/>
          <w:lang w:val="en-GB"/>
        </w:rPr>
        <w:t>The measures, evidence and sources are as approved in June 2015 by the ACNC, and validated by the ACNC consultative mechanism, the Sector User Group and Professional User Group:</w:t>
      </w:r>
      <w:r w:rsidRPr="008C1E72">
        <w:rPr>
          <w:rFonts w:asciiTheme="minorHAnsi" w:hAnsiTheme="minorHAnsi" w:cstheme="minorHAnsi"/>
          <w:b/>
          <w:szCs w:val="22"/>
          <w:lang w:val="en-GB"/>
        </w:rPr>
        <w:t xml:space="preserve"> s</w:t>
      </w:r>
      <w:r w:rsidRPr="008C1E72">
        <w:rPr>
          <w:rFonts w:asciiTheme="minorHAnsi" w:hAnsiTheme="minorHAnsi" w:cstheme="minorHAnsi"/>
          <w:b/>
          <w:sz w:val="20"/>
          <w:szCs w:val="20"/>
          <w:lang w:val="en-GB"/>
        </w:rPr>
        <w:t xml:space="preserve">ee </w:t>
      </w:r>
      <w:hyperlink r:id="rId48" w:history="1">
        <w:r w:rsidRPr="008C1E72">
          <w:rPr>
            <w:rFonts w:asciiTheme="minorHAnsi" w:hAnsiTheme="minorHAnsi" w:cstheme="minorHAnsi"/>
            <w:b/>
            <w:sz w:val="20"/>
            <w:szCs w:val="20"/>
            <w:u w:val="single"/>
            <w:lang w:val="en-GB"/>
          </w:rPr>
          <w:t>acnc.gov.au/rpfmeasures</w:t>
        </w:r>
      </w:hyperlink>
    </w:p>
    <w:p w14:paraId="4385E8FD" w14:textId="77777777" w:rsidR="00856317" w:rsidRPr="008C1E72" w:rsidRDefault="00856317" w:rsidP="00856317">
      <w:pPr>
        <w:framePr w:hSpace="180" w:wrap="around" w:vAnchor="text" w:hAnchor="text" w:y="1"/>
        <w:suppressOverlap/>
        <w:rPr>
          <w:rFonts w:asciiTheme="minorHAnsi" w:hAnsiTheme="minorHAnsi" w:cstheme="minorHAnsi"/>
          <w:sz w:val="20"/>
          <w:szCs w:val="20"/>
          <w:lang w:val="en-GB"/>
        </w:rPr>
      </w:pPr>
      <w:r w:rsidRPr="008C1E72">
        <w:rPr>
          <w:rFonts w:asciiTheme="minorHAnsi" w:hAnsiTheme="minorHAnsi" w:cstheme="minorHAnsi"/>
          <w:b/>
          <w:bCs/>
          <w:i/>
          <w:iCs/>
          <w:color w:val="4F81BD"/>
          <w:szCs w:val="22"/>
        </w:rPr>
        <w:t xml:space="preserve">Measure: </w:t>
      </w:r>
      <w:r w:rsidRPr="008C1E72">
        <w:rPr>
          <w:rFonts w:asciiTheme="minorHAnsi" w:hAnsiTheme="minorHAnsi" w:cstheme="minorHAnsi"/>
          <w:sz w:val="20"/>
          <w:szCs w:val="20"/>
          <w:lang w:val="en-GB"/>
        </w:rPr>
        <w:t>as per Australian Government Regulator Performance Framework.</w:t>
      </w:r>
    </w:p>
    <w:p w14:paraId="03481498" w14:textId="77777777" w:rsidR="00856317" w:rsidRPr="008C1E72" w:rsidRDefault="00856317" w:rsidP="00856317">
      <w:pPr>
        <w:framePr w:hSpace="180" w:wrap="around" w:vAnchor="text" w:hAnchor="text" w:y="1"/>
        <w:suppressOverlap/>
        <w:rPr>
          <w:rFonts w:asciiTheme="minorHAnsi" w:hAnsiTheme="minorHAnsi" w:cstheme="minorHAnsi"/>
          <w:sz w:val="20"/>
          <w:szCs w:val="20"/>
          <w:lang w:val="en-GB"/>
        </w:rPr>
      </w:pPr>
      <w:r w:rsidRPr="008C1E72">
        <w:rPr>
          <w:rFonts w:asciiTheme="minorHAnsi" w:hAnsiTheme="minorHAnsi" w:cstheme="minorHAnsi"/>
          <w:b/>
          <w:bCs/>
          <w:i/>
          <w:iCs/>
          <w:color w:val="4F81BD"/>
          <w:szCs w:val="22"/>
        </w:rPr>
        <w:t>Evidence:</w:t>
      </w:r>
      <w:r w:rsidRPr="008C1E72">
        <w:rPr>
          <w:rFonts w:asciiTheme="minorHAnsi" w:hAnsiTheme="minorHAnsi" w:cstheme="minorHAnsi"/>
          <w:sz w:val="20"/>
          <w:szCs w:val="20"/>
          <w:lang w:val="en-GB"/>
        </w:rPr>
        <w:t xml:space="preserve"> evidence of performance against each measure.</w:t>
      </w:r>
    </w:p>
    <w:p w14:paraId="7F4AC728" w14:textId="77777777" w:rsidR="00856317" w:rsidRPr="008C1E72" w:rsidRDefault="00856317" w:rsidP="00856317">
      <w:pPr>
        <w:framePr w:hSpace="180" w:wrap="around" w:vAnchor="text" w:hAnchor="text" w:y="1"/>
        <w:suppressOverlap/>
        <w:rPr>
          <w:rFonts w:asciiTheme="minorHAnsi" w:hAnsiTheme="minorHAnsi" w:cstheme="minorHAnsi"/>
          <w:sz w:val="20"/>
          <w:szCs w:val="20"/>
          <w:lang w:val="en-GB"/>
        </w:rPr>
      </w:pPr>
      <w:r w:rsidRPr="008C1E72">
        <w:rPr>
          <w:rFonts w:asciiTheme="minorHAnsi" w:hAnsiTheme="minorHAnsi" w:cstheme="minorHAnsi"/>
          <w:b/>
          <w:bCs/>
          <w:i/>
          <w:iCs/>
          <w:color w:val="4F81BD"/>
          <w:szCs w:val="22"/>
        </w:rPr>
        <w:t>Source:</w:t>
      </w:r>
      <w:r w:rsidRPr="008C1E72">
        <w:rPr>
          <w:rFonts w:asciiTheme="minorHAnsi" w:hAnsiTheme="minorHAnsi" w:cstheme="minorHAnsi"/>
          <w:sz w:val="20"/>
          <w:szCs w:val="20"/>
          <w:lang w:val="en-GB"/>
        </w:rPr>
        <w:t xml:space="preserve"> source of the evidence (Note - where the source is a published policy or procedure, the annual self-assessment will include assessment of the ACNC’s compliance with the policy or procedure. Where relevant, the ACNC will provide narrative regarding quantitative evidence sources).</w:t>
      </w:r>
    </w:p>
    <w:p w14:paraId="72C755B9" w14:textId="77777777" w:rsidR="00856317" w:rsidRPr="008C1E72" w:rsidRDefault="00856317" w:rsidP="00856317">
      <w:pPr>
        <w:framePr w:hSpace="180" w:wrap="around" w:vAnchor="text" w:hAnchor="text" w:y="1"/>
        <w:spacing w:after="0"/>
        <w:suppressOverlap/>
        <w:rPr>
          <w:rFonts w:asciiTheme="minorHAnsi" w:hAnsiTheme="minorHAnsi" w:cstheme="minorHAnsi"/>
          <w:sz w:val="20"/>
          <w:szCs w:val="20"/>
          <w:lang w:val="en-GB"/>
        </w:rPr>
      </w:pPr>
      <w:r w:rsidRPr="008C1E72">
        <w:rPr>
          <w:rFonts w:asciiTheme="minorHAnsi" w:hAnsiTheme="minorHAnsi" w:cstheme="minorHAnsi"/>
          <w:b/>
          <w:bCs/>
          <w:i/>
          <w:iCs/>
          <w:color w:val="4F81BD"/>
          <w:szCs w:val="22"/>
        </w:rPr>
        <w:t xml:space="preserve">Results: </w:t>
      </w:r>
      <w:r w:rsidRPr="008C1E72">
        <w:rPr>
          <w:rFonts w:asciiTheme="minorHAnsi" w:hAnsiTheme="minorHAnsi" w:cstheme="minorHAnsi"/>
          <w:sz w:val="20"/>
          <w:szCs w:val="20"/>
          <w:lang w:val="en-GB"/>
        </w:rPr>
        <w:t xml:space="preserve">Performance with respect to each item of evidence has been assessed as met, substantially met, partially met, or not met (refer to the table below). An analysis of the result, including further detail about performance, is also provided. </w:t>
      </w:r>
    </w:p>
    <w:p w14:paraId="64308547" w14:textId="77777777" w:rsidR="00856317" w:rsidRPr="008C1E72" w:rsidRDefault="00856317" w:rsidP="00856317">
      <w:pPr>
        <w:rPr>
          <w:rFonts w:asciiTheme="minorHAnsi" w:hAnsiTheme="minorHAnsi" w:cstheme="minorHAnsi"/>
        </w:rPr>
      </w:pPr>
    </w:p>
    <w:tbl>
      <w:tblPr>
        <w:tblpPr w:leftFromText="180" w:rightFromText="180" w:vertAnchor="text" w:horzAnchor="margin"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97"/>
        <w:gridCol w:w="1072"/>
        <w:gridCol w:w="6387"/>
      </w:tblGrid>
      <w:tr w:rsidR="00856317" w:rsidRPr="002E196A" w14:paraId="09E1AF92" w14:textId="77777777" w:rsidTr="00625E82">
        <w:trPr>
          <w:trHeight w:val="613"/>
        </w:trPr>
        <w:tc>
          <w:tcPr>
            <w:tcW w:w="2297" w:type="dxa"/>
            <w:tcBorders>
              <w:top w:val="single" w:sz="4" w:space="0" w:color="71828C"/>
              <w:left w:val="single" w:sz="4" w:space="0" w:color="71828C"/>
              <w:bottom w:val="single" w:sz="4" w:space="0" w:color="71828C"/>
              <w:right w:val="single" w:sz="4" w:space="0" w:color="71828C"/>
            </w:tcBorders>
            <w:shd w:val="clear" w:color="auto" w:fill="B8CCE4" w:themeFill="accent1" w:themeFillTint="66"/>
            <w:vAlign w:val="center"/>
            <w:hideMark/>
          </w:tcPr>
          <w:p w14:paraId="3475E45D" w14:textId="77777777" w:rsidR="00856317" w:rsidRPr="009163A6" w:rsidRDefault="00856317" w:rsidP="00856317">
            <w:pPr>
              <w:tabs>
                <w:tab w:val="left" w:pos="720"/>
              </w:tabs>
              <w:spacing w:after="0" w:line="276" w:lineRule="auto"/>
              <w:rPr>
                <w:rFonts w:asciiTheme="minorHAnsi" w:eastAsiaTheme="minorHAnsi" w:hAnsiTheme="minorHAnsi" w:cstheme="minorHAnsi"/>
                <w:b/>
                <w:color w:val="000000"/>
                <w:szCs w:val="22"/>
                <w:lang w:val="en-GB"/>
              </w:rPr>
            </w:pPr>
            <w:r w:rsidRPr="009163A6">
              <w:rPr>
                <w:rFonts w:asciiTheme="minorHAnsi" w:eastAsiaTheme="minorHAnsi" w:hAnsiTheme="minorHAnsi" w:cstheme="minorHAnsi"/>
                <w:b/>
                <w:szCs w:val="22"/>
                <w:lang w:val="en-GB"/>
              </w:rPr>
              <w:t>Result</w:t>
            </w:r>
          </w:p>
        </w:tc>
        <w:tc>
          <w:tcPr>
            <w:tcW w:w="1072" w:type="dxa"/>
            <w:tcBorders>
              <w:top w:val="single" w:sz="4" w:space="0" w:color="71828C"/>
              <w:left w:val="single" w:sz="4" w:space="0" w:color="71828C"/>
              <w:bottom w:val="single" w:sz="4" w:space="0" w:color="71828C"/>
              <w:right w:val="single" w:sz="4" w:space="0" w:color="71828C"/>
            </w:tcBorders>
            <w:shd w:val="clear" w:color="auto" w:fill="B8CCE4" w:themeFill="accent1" w:themeFillTint="66"/>
            <w:vAlign w:val="center"/>
            <w:hideMark/>
          </w:tcPr>
          <w:p w14:paraId="29C68905" w14:textId="77777777" w:rsidR="00856317" w:rsidRPr="009163A6" w:rsidRDefault="00856317" w:rsidP="00856317">
            <w:pPr>
              <w:tabs>
                <w:tab w:val="left" w:pos="720"/>
              </w:tabs>
              <w:spacing w:after="0" w:line="276" w:lineRule="auto"/>
              <w:rPr>
                <w:rFonts w:asciiTheme="minorHAnsi" w:eastAsiaTheme="minorHAnsi" w:hAnsiTheme="minorHAnsi" w:cstheme="minorHAnsi"/>
                <w:b/>
                <w:color w:val="000000"/>
                <w:szCs w:val="22"/>
                <w:lang w:val="en-GB"/>
              </w:rPr>
            </w:pPr>
            <w:r w:rsidRPr="009163A6">
              <w:rPr>
                <w:rFonts w:asciiTheme="minorHAnsi" w:eastAsiaTheme="minorHAnsi" w:hAnsiTheme="minorHAnsi" w:cstheme="minorHAnsi"/>
                <w:b/>
                <w:color w:val="000000"/>
                <w:szCs w:val="22"/>
                <w:lang w:val="en-GB"/>
              </w:rPr>
              <w:t>Colour</w:t>
            </w:r>
          </w:p>
        </w:tc>
        <w:tc>
          <w:tcPr>
            <w:tcW w:w="6387" w:type="dxa"/>
            <w:tcBorders>
              <w:top w:val="single" w:sz="4" w:space="0" w:color="71828C"/>
              <w:left w:val="single" w:sz="4" w:space="0" w:color="71828C"/>
              <w:bottom w:val="single" w:sz="4" w:space="0" w:color="71828C"/>
              <w:right w:val="single" w:sz="4" w:space="0" w:color="71828C"/>
            </w:tcBorders>
            <w:shd w:val="clear" w:color="auto" w:fill="B8CCE4" w:themeFill="accent1" w:themeFillTint="66"/>
            <w:vAlign w:val="center"/>
            <w:hideMark/>
          </w:tcPr>
          <w:p w14:paraId="4083585D" w14:textId="77777777" w:rsidR="00856317" w:rsidRPr="009163A6" w:rsidRDefault="00856317" w:rsidP="00856317">
            <w:pPr>
              <w:tabs>
                <w:tab w:val="left" w:pos="720"/>
              </w:tabs>
              <w:spacing w:after="0" w:line="276" w:lineRule="auto"/>
              <w:rPr>
                <w:rFonts w:asciiTheme="minorHAnsi" w:eastAsiaTheme="minorHAnsi" w:hAnsiTheme="minorHAnsi" w:cstheme="minorHAnsi"/>
                <w:b/>
                <w:color w:val="000000"/>
                <w:szCs w:val="22"/>
                <w:lang w:val="en-GB"/>
              </w:rPr>
            </w:pPr>
            <w:r w:rsidRPr="009163A6">
              <w:rPr>
                <w:rFonts w:asciiTheme="minorHAnsi" w:eastAsiaTheme="minorHAnsi" w:hAnsiTheme="minorHAnsi" w:cstheme="minorHAnsi"/>
                <w:b/>
                <w:szCs w:val="22"/>
                <w:lang w:val="en-GB"/>
              </w:rPr>
              <w:t>Description</w:t>
            </w:r>
          </w:p>
        </w:tc>
      </w:tr>
      <w:tr w:rsidR="00856317" w:rsidRPr="002E196A" w14:paraId="4D200265" w14:textId="77777777" w:rsidTr="00625E82">
        <w:tc>
          <w:tcPr>
            <w:tcW w:w="2297" w:type="dxa"/>
            <w:tcBorders>
              <w:top w:val="single" w:sz="4" w:space="0" w:color="71828C"/>
              <w:left w:val="single" w:sz="4" w:space="0" w:color="71828C"/>
              <w:bottom w:val="single" w:sz="4" w:space="0" w:color="71828C"/>
              <w:right w:val="single" w:sz="4" w:space="0" w:color="71828C"/>
            </w:tcBorders>
            <w:shd w:val="clear" w:color="auto" w:fill="auto"/>
            <w:hideMark/>
          </w:tcPr>
          <w:p w14:paraId="321927F7"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Met</w:t>
            </w:r>
          </w:p>
        </w:tc>
        <w:tc>
          <w:tcPr>
            <w:tcW w:w="1072" w:type="dxa"/>
            <w:tcBorders>
              <w:top w:val="single" w:sz="4" w:space="0" w:color="71828C"/>
              <w:left w:val="single" w:sz="4" w:space="0" w:color="71828C"/>
              <w:bottom w:val="single" w:sz="4" w:space="0" w:color="71828C"/>
              <w:right w:val="single" w:sz="4" w:space="0" w:color="71828C"/>
            </w:tcBorders>
            <w:shd w:val="clear" w:color="auto" w:fill="auto"/>
            <w:hideMark/>
          </w:tcPr>
          <w:p w14:paraId="0A1F03DA" w14:textId="77777777" w:rsidR="00856317" w:rsidRPr="009163A6" w:rsidRDefault="00856317" w:rsidP="00856317">
            <w:pPr>
              <w:tabs>
                <w:tab w:val="left" w:pos="720"/>
              </w:tabs>
              <w:spacing w:after="0" w:line="276" w:lineRule="auto"/>
              <w:rPr>
                <w:rFonts w:asciiTheme="minorHAnsi" w:eastAsiaTheme="minorHAnsi" w:hAnsiTheme="minorHAnsi" w:cstheme="minorHAnsi"/>
                <w:color w:val="000000"/>
                <w:szCs w:val="22"/>
                <w:lang w:val="en-GB"/>
              </w:rPr>
            </w:pPr>
            <w:r w:rsidRPr="009163A6">
              <w:rPr>
                <w:rFonts w:asciiTheme="minorHAnsi" w:eastAsiaTheme="minorHAnsi" w:hAnsiTheme="minorHAnsi" w:cstheme="minorHAnsi"/>
                <w:noProof/>
                <w:color w:val="1F497D" w:themeColor="text2"/>
                <w:szCs w:val="22"/>
                <w:lang w:eastAsia="en-AU"/>
              </w:rPr>
              <mc:AlternateContent>
                <mc:Choice Requires="wps">
                  <w:drawing>
                    <wp:anchor distT="0" distB="0" distL="114300" distR="114300" simplePos="0" relativeHeight="251673088" behindDoc="0" locked="0" layoutInCell="1" allowOverlap="1" wp14:anchorId="65712C8F" wp14:editId="41C75B9E">
                      <wp:simplePos x="0" y="0"/>
                      <wp:positionH relativeFrom="column">
                        <wp:posOffset>4445</wp:posOffset>
                      </wp:positionH>
                      <wp:positionV relativeFrom="paragraph">
                        <wp:posOffset>49530</wp:posOffset>
                      </wp:positionV>
                      <wp:extent cx="144780" cy="144780"/>
                      <wp:effectExtent l="19050" t="19050" r="45720" b="6477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02D7B" id="Oval 61" o:spid="_x0000_s1026" style="position:absolute;margin-left:.35pt;margin-top:3.9pt;width:11.4pt;height:1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" fillcolor="#9bbb59" strokecolor="#f2f2f2" strokeweight="3pt">
                      <v:shadow on="t" color="#4e6128" opacity=".5" offset="1pt"/>
                    </v:oval>
                  </w:pict>
                </mc:Fallback>
              </mc:AlternateContent>
            </w:r>
          </w:p>
        </w:tc>
        <w:tc>
          <w:tcPr>
            <w:tcW w:w="6387" w:type="dxa"/>
            <w:tcBorders>
              <w:top w:val="single" w:sz="4" w:space="0" w:color="71828C"/>
              <w:left w:val="single" w:sz="4" w:space="0" w:color="71828C"/>
              <w:bottom w:val="single" w:sz="4" w:space="0" w:color="71828C"/>
              <w:right w:val="single" w:sz="4" w:space="0" w:color="71828C"/>
            </w:tcBorders>
            <w:shd w:val="clear" w:color="auto" w:fill="auto"/>
            <w:hideMark/>
          </w:tcPr>
          <w:p w14:paraId="62E382DB"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 xml:space="preserve">Target met or exceeded. </w:t>
            </w:r>
          </w:p>
        </w:tc>
      </w:tr>
      <w:tr w:rsidR="00856317" w:rsidRPr="002E196A" w14:paraId="619034C5" w14:textId="77777777" w:rsidTr="00625E82">
        <w:tc>
          <w:tcPr>
            <w:tcW w:w="2297" w:type="dxa"/>
            <w:tcBorders>
              <w:top w:val="single" w:sz="4" w:space="0" w:color="71828C"/>
              <w:left w:val="single" w:sz="4" w:space="0" w:color="71828C"/>
              <w:bottom w:val="single" w:sz="4" w:space="0" w:color="71828C"/>
              <w:right w:val="single" w:sz="4" w:space="0" w:color="71828C"/>
            </w:tcBorders>
            <w:shd w:val="clear" w:color="auto" w:fill="auto"/>
          </w:tcPr>
          <w:p w14:paraId="6008B9AD"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Substantially met</w:t>
            </w:r>
          </w:p>
        </w:tc>
        <w:tc>
          <w:tcPr>
            <w:tcW w:w="1072" w:type="dxa"/>
            <w:tcBorders>
              <w:top w:val="single" w:sz="4" w:space="0" w:color="71828C"/>
              <w:left w:val="single" w:sz="4" w:space="0" w:color="71828C"/>
              <w:bottom w:val="single" w:sz="4" w:space="0" w:color="71828C"/>
              <w:right w:val="single" w:sz="4" w:space="0" w:color="71828C"/>
            </w:tcBorders>
            <w:shd w:val="clear" w:color="auto" w:fill="auto"/>
          </w:tcPr>
          <w:p w14:paraId="49C80BA5" w14:textId="77777777" w:rsidR="00856317" w:rsidRPr="009163A6" w:rsidRDefault="00856317" w:rsidP="00856317">
            <w:pPr>
              <w:tabs>
                <w:tab w:val="left" w:pos="720"/>
              </w:tabs>
              <w:spacing w:after="0" w:line="276" w:lineRule="auto"/>
              <w:rPr>
                <w:rFonts w:asciiTheme="minorHAnsi" w:eastAsiaTheme="minorHAnsi" w:hAnsiTheme="minorHAnsi" w:cstheme="minorHAnsi"/>
                <w:color w:val="000000"/>
                <w:szCs w:val="22"/>
                <w:lang w:val="en-GB"/>
              </w:rPr>
            </w:pPr>
            <w:r w:rsidRPr="009163A6">
              <w:rPr>
                <w:rFonts w:asciiTheme="minorHAnsi" w:eastAsiaTheme="minorHAnsi" w:hAnsiTheme="minorHAnsi" w:cstheme="minorHAnsi"/>
                <w:noProof/>
                <w:color w:val="1F497D" w:themeColor="text2"/>
                <w:szCs w:val="22"/>
                <w:lang w:eastAsia="en-AU"/>
              </w:rPr>
              <mc:AlternateContent>
                <mc:Choice Requires="wps">
                  <w:drawing>
                    <wp:anchor distT="0" distB="0" distL="114300" distR="114300" simplePos="0" relativeHeight="251678208" behindDoc="0" locked="0" layoutInCell="1" allowOverlap="1" wp14:anchorId="181284EF" wp14:editId="198271B5">
                      <wp:simplePos x="0" y="0"/>
                      <wp:positionH relativeFrom="column">
                        <wp:posOffset>4445</wp:posOffset>
                      </wp:positionH>
                      <wp:positionV relativeFrom="paragraph">
                        <wp:posOffset>43180</wp:posOffset>
                      </wp:positionV>
                      <wp:extent cx="144780" cy="144780"/>
                      <wp:effectExtent l="19050" t="19050" r="45720" b="6477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548DD4"/>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4135C" id="Oval 60" o:spid="_x0000_s1026" style="position:absolute;margin-left:.35pt;margin-top:3.4pt;width:11.4pt;height:11.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" fillcolor="#548dd4" strokecolor="#f2f2f2" strokeweight="3pt">
                      <v:shadow on="t" color="#4e6128" opacity=".5" offset="1pt"/>
                    </v:oval>
                  </w:pict>
                </mc:Fallback>
              </mc:AlternateContent>
            </w:r>
          </w:p>
        </w:tc>
        <w:tc>
          <w:tcPr>
            <w:tcW w:w="6387" w:type="dxa"/>
            <w:tcBorders>
              <w:top w:val="single" w:sz="4" w:space="0" w:color="71828C"/>
              <w:left w:val="single" w:sz="4" w:space="0" w:color="71828C"/>
              <w:bottom w:val="single" w:sz="4" w:space="0" w:color="71828C"/>
              <w:right w:val="single" w:sz="4" w:space="0" w:color="71828C"/>
            </w:tcBorders>
            <w:shd w:val="clear" w:color="auto" w:fill="auto"/>
          </w:tcPr>
          <w:p w14:paraId="1A73A511"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Targets were mostly met.</w:t>
            </w:r>
          </w:p>
        </w:tc>
      </w:tr>
      <w:tr w:rsidR="00856317" w:rsidRPr="002E196A" w14:paraId="478D7D55" w14:textId="77777777" w:rsidTr="00625E82">
        <w:tc>
          <w:tcPr>
            <w:tcW w:w="2297" w:type="dxa"/>
            <w:tcBorders>
              <w:top w:val="single" w:sz="4" w:space="0" w:color="71828C"/>
              <w:left w:val="single" w:sz="4" w:space="0" w:color="71828C"/>
              <w:bottom w:val="single" w:sz="4" w:space="0" w:color="71828C"/>
              <w:right w:val="single" w:sz="4" w:space="0" w:color="71828C"/>
            </w:tcBorders>
            <w:shd w:val="clear" w:color="auto" w:fill="auto"/>
          </w:tcPr>
          <w:p w14:paraId="74456139"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Partially met</w:t>
            </w:r>
          </w:p>
        </w:tc>
        <w:tc>
          <w:tcPr>
            <w:tcW w:w="1072" w:type="dxa"/>
            <w:tcBorders>
              <w:top w:val="single" w:sz="4" w:space="0" w:color="71828C"/>
              <w:left w:val="single" w:sz="4" w:space="0" w:color="71828C"/>
              <w:bottom w:val="single" w:sz="4" w:space="0" w:color="71828C"/>
              <w:right w:val="single" w:sz="4" w:space="0" w:color="71828C"/>
            </w:tcBorders>
            <w:shd w:val="clear" w:color="auto" w:fill="auto"/>
          </w:tcPr>
          <w:p w14:paraId="24AFCAFC" w14:textId="77777777" w:rsidR="00856317" w:rsidRPr="009163A6" w:rsidRDefault="00856317" w:rsidP="00856317">
            <w:pPr>
              <w:tabs>
                <w:tab w:val="left" w:pos="720"/>
              </w:tabs>
              <w:spacing w:after="0" w:line="276" w:lineRule="auto"/>
              <w:rPr>
                <w:rFonts w:asciiTheme="minorHAnsi" w:eastAsiaTheme="minorHAnsi" w:hAnsiTheme="minorHAnsi" w:cstheme="minorHAnsi"/>
                <w:color w:val="000000"/>
                <w:szCs w:val="22"/>
                <w:lang w:val="en-GB"/>
              </w:rPr>
            </w:pPr>
            <w:r w:rsidRPr="009163A6">
              <w:rPr>
                <w:rFonts w:asciiTheme="minorHAnsi" w:eastAsiaTheme="minorHAnsi" w:hAnsiTheme="minorHAnsi" w:cstheme="minorHAnsi"/>
                <w:noProof/>
                <w:color w:val="1F497D" w:themeColor="text2"/>
                <w:szCs w:val="22"/>
                <w:lang w:eastAsia="en-AU"/>
              </w:rPr>
              <mc:AlternateContent>
                <mc:Choice Requires="wps">
                  <w:drawing>
                    <wp:anchor distT="0" distB="0" distL="114300" distR="114300" simplePos="0" relativeHeight="251683328" behindDoc="0" locked="0" layoutInCell="1" allowOverlap="1" wp14:anchorId="3C50FF07" wp14:editId="0A5473F5">
                      <wp:simplePos x="0" y="0"/>
                      <wp:positionH relativeFrom="column">
                        <wp:posOffset>4445</wp:posOffset>
                      </wp:positionH>
                      <wp:positionV relativeFrom="paragraph">
                        <wp:posOffset>44450</wp:posOffset>
                      </wp:positionV>
                      <wp:extent cx="144780" cy="144780"/>
                      <wp:effectExtent l="19050" t="19050" r="45720" b="6477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E36C0A"/>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11C054" id="Oval 59" o:spid="_x0000_s1026" style="position:absolute;margin-left:.35pt;margin-top:3.5pt;width:11.4pt;height:1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" fillcolor="#e36c0a" strokecolor="#f2f2f2" strokeweight="3pt">
                      <v:shadow on="t" color="#4e6128" opacity=".5" offset="1pt"/>
                    </v:oval>
                  </w:pict>
                </mc:Fallback>
              </mc:AlternateContent>
            </w:r>
          </w:p>
        </w:tc>
        <w:tc>
          <w:tcPr>
            <w:tcW w:w="6387" w:type="dxa"/>
            <w:tcBorders>
              <w:top w:val="single" w:sz="4" w:space="0" w:color="71828C"/>
              <w:left w:val="single" w:sz="4" w:space="0" w:color="71828C"/>
              <w:bottom w:val="single" w:sz="4" w:space="0" w:color="71828C"/>
              <w:right w:val="single" w:sz="4" w:space="0" w:color="71828C"/>
            </w:tcBorders>
            <w:shd w:val="clear" w:color="auto" w:fill="auto"/>
          </w:tcPr>
          <w:p w14:paraId="070AE205"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Some targets were met and issues managed</w:t>
            </w:r>
          </w:p>
        </w:tc>
      </w:tr>
      <w:tr w:rsidR="00856317" w:rsidRPr="002E196A" w14:paraId="51CAA455" w14:textId="77777777" w:rsidTr="00625E82">
        <w:tc>
          <w:tcPr>
            <w:tcW w:w="2297" w:type="dxa"/>
            <w:tcBorders>
              <w:top w:val="single" w:sz="4" w:space="0" w:color="71828C"/>
              <w:left w:val="single" w:sz="4" w:space="0" w:color="71828C"/>
              <w:bottom w:val="single" w:sz="4" w:space="0" w:color="71828C"/>
              <w:right w:val="single" w:sz="4" w:space="0" w:color="71828C"/>
            </w:tcBorders>
            <w:shd w:val="clear" w:color="auto" w:fill="auto"/>
          </w:tcPr>
          <w:p w14:paraId="1A0E0378"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Not met</w:t>
            </w:r>
          </w:p>
        </w:tc>
        <w:tc>
          <w:tcPr>
            <w:tcW w:w="1072" w:type="dxa"/>
            <w:tcBorders>
              <w:top w:val="single" w:sz="4" w:space="0" w:color="71828C"/>
              <w:left w:val="single" w:sz="4" w:space="0" w:color="71828C"/>
              <w:bottom w:val="single" w:sz="4" w:space="0" w:color="71828C"/>
              <w:right w:val="single" w:sz="4" w:space="0" w:color="71828C"/>
            </w:tcBorders>
            <w:shd w:val="clear" w:color="auto" w:fill="auto"/>
          </w:tcPr>
          <w:p w14:paraId="26A7C10D" w14:textId="77777777" w:rsidR="00856317" w:rsidRPr="009163A6" w:rsidRDefault="00856317" w:rsidP="00856317">
            <w:pPr>
              <w:tabs>
                <w:tab w:val="left" w:pos="720"/>
              </w:tabs>
              <w:spacing w:after="0" w:line="276" w:lineRule="auto"/>
              <w:rPr>
                <w:rFonts w:asciiTheme="minorHAnsi" w:eastAsiaTheme="minorHAnsi" w:hAnsiTheme="minorHAnsi" w:cstheme="minorHAnsi"/>
                <w:color w:val="000000"/>
                <w:szCs w:val="22"/>
                <w:lang w:val="en-GB"/>
              </w:rPr>
            </w:pPr>
            <w:r w:rsidRPr="009163A6">
              <w:rPr>
                <w:rFonts w:asciiTheme="minorHAnsi" w:eastAsiaTheme="minorHAnsi" w:hAnsiTheme="minorHAnsi" w:cstheme="minorHAnsi"/>
                <w:noProof/>
                <w:color w:val="1F497D" w:themeColor="text2"/>
                <w:szCs w:val="22"/>
                <w:lang w:eastAsia="en-AU"/>
              </w:rPr>
              <mc:AlternateContent>
                <mc:Choice Requires="wps">
                  <w:drawing>
                    <wp:anchor distT="0" distB="0" distL="114300" distR="114300" simplePos="0" relativeHeight="251688448" behindDoc="0" locked="0" layoutInCell="1" allowOverlap="1" wp14:anchorId="64F12B42" wp14:editId="13157818">
                      <wp:simplePos x="0" y="0"/>
                      <wp:positionH relativeFrom="column">
                        <wp:posOffset>4445</wp:posOffset>
                      </wp:positionH>
                      <wp:positionV relativeFrom="paragraph">
                        <wp:posOffset>28575</wp:posOffset>
                      </wp:positionV>
                      <wp:extent cx="144780" cy="144780"/>
                      <wp:effectExtent l="19050" t="19050" r="45720" b="6477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FF0000"/>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1D934" id="Oval 58" o:spid="_x0000_s1026" style="position:absolute;margin-left:.35pt;margin-top:2.25pt;width:11.4pt;height:1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" fillcolor="red" strokecolor="#f2f2f2" strokeweight="3pt">
                      <v:shadow on="t" color="#4e6128" opacity=".5" offset="1pt"/>
                    </v:oval>
                  </w:pict>
                </mc:Fallback>
              </mc:AlternateContent>
            </w:r>
          </w:p>
        </w:tc>
        <w:tc>
          <w:tcPr>
            <w:tcW w:w="6387" w:type="dxa"/>
            <w:tcBorders>
              <w:top w:val="single" w:sz="4" w:space="0" w:color="71828C"/>
              <w:left w:val="single" w:sz="4" w:space="0" w:color="71828C"/>
              <w:bottom w:val="single" w:sz="4" w:space="0" w:color="71828C"/>
              <w:right w:val="single" w:sz="4" w:space="0" w:color="71828C"/>
            </w:tcBorders>
            <w:shd w:val="clear" w:color="auto" w:fill="auto"/>
          </w:tcPr>
          <w:p w14:paraId="0CA5DAE1" w14:textId="77777777" w:rsidR="00856317" w:rsidRPr="009163A6" w:rsidRDefault="00856317" w:rsidP="00856317">
            <w:pPr>
              <w:tabs>
                <w:tab w:val="left" w:pos="720"/>
              </w:tabs>
              <w:spacing w:before="120" w:after="0" w:line="276" w:lineRule="auto"/>
              <w:rPr>
                <w:rFonts w:asciiTheme="minorHAnsi" w:eastAsiaTheme="minorHAnsi" w:hAnsiTheme="minorHAnsi" w:cstheme="minorHAnsi"/>
                <w:color w:val="1F497D" w:themeColor="text2"/>
                <w:szCs w:val="22"/>
                <w:lang w:val="en-GB"/>
              </w:rPr>
            </w:pPr>
            <w:r w:rsidRPr="009163A6">
              <w:rPr>
                <w:rFonts w:asciiTheme="minorHAnsi" w:eastAsiaTheme="minorHAnsi" w:hAnsiTheme="minorHAnsi" w:cstheme="minorHAnsi"/>
                <w:color w:val="1F497D" w:themeColor="text2"/>
                <w:szCs w:val="22"/>
                <w:lang w:val="en-GB"/>
              </w:rPr>
              <w:t>No or minimal progress was made against target.</w:t>
            </w:r>
          </w:p>
        </w:tc>
      </w:tr>
    </w:tbl>
    <w:p w14:paraId="660F2C5D" w14:textId="77777777" w:rsidR="002E196A" w:rsidRPr="002E196A" w:rsidRDefault="002E196A" w:rsidP="002E196A">
      <w:pPr>
        <w:spacing w:after="0"/>
        <w:rPr>
          <w:rFonts w:asciiTheme="minorHAnsi" w:eastAsiaTheme="minorHAnsi" w:hAnsiTheme="minorHAnsi" w:cstheme="minorBidi"/>
          <w:color w:val="1F497D" w:themeColor="text2"/>
          <w:szCs w:val="22"/>
          <w:lang w:eastAsia="en-AU"/>
        </w:rPr>
      </w:pPr>
    </w:p>
    <w:tbl>
      <w:tblPr>
        <w:tblStyle w:val="TableGrid2"/>
        <w:tblpPr w:leftFromText="180" w:rightFromText="180" w:vertAnchor="text" w:tblpY="1"/>
        <w:tblOverlap w:val="never"/>
        <w:tblW w:w="5000" w:type="pct"/>
        <w:tblLayout w:type="fixed"/>
        <w:tblLook w:val="04A0" w:firstRow="1" w:lastRow="0" w:firstColumn="1" w:lastColumn="0" w:noHBand="0" w:noVBand="1"/>
      </w:tblPr>
      <w:tblGrid>
        <w:gridCol w:w="409"/>
        <w:gridCol w:w="9"/>
        <w:gridCol w:w="2797"/>
        <w:gridCol w:w="45"/>
        <w:gridCol w:w="550"/>
        <w:gridCol w:w="158"/>
        <w:gridCol w:w="3194"/>
        <w:gridCol w:w="50"/>
        <w:gridCol w:w="4072"/>
        <w:gridCol w:w="1059"/>
        <w:gridCol w:w="10181"/>
      </w:tblGrid>
      <w:tr w:rsidR="002E196A" w:rsidRPr="008C1E72" w14:paraId="31A1D3FA" w14:textId="77777777" w:rsidTr="00625E82">
        <w:trPr>
          <w:cantSplit/>
          <w:trHeight w:val="515"/>
        </w:trPr>
        <w:tc>
          <w:tcPr>
            <w:tcW w:w="5000" w:type="pct"/>
            <w:gridSpan w:val="11"/>
            <w:tcBorders>
              <w:top w:val="nil"/>
              <w:left w:val="nil"/>
              <w:bottom w:val="single" w:sz="4" w:space="0" w:color="auto"/>
              <w:right w:val="nil"/>
            </w:tcBorders>
            <w:shd w:val="clear" w:color="auto" w:fill="auto"/>
            <w:vAlign w:val="center"/>
          </w:tcPr>
          <w:p w14:paraId="6F25E3AB" w14:textId="77777777" w:rsidR="002E196A" w:rsidRPr="008C1E72" w:rsidRDefault="002E196A" w:rsidP="0077552A">
            <w:pPr>
              <w:spacing w:after="240"/>
              <w:rPr>
                <w:rFonts w:cs="Calibri"/>
                <w:color w:val="1F497D" w:themeColor="text2"/>
                <w:sz w:val="20"/>
                <w:szCs w:val="20"/>
                <w:lang w:val="en-GB"/>
              </w:rPr>
            </w:pPr>
            <w:r w:rsidRPr="008C1E72">
              <w:rPr>
                <w:rFonts w:cs="Calibri"/>
                <w:color w:val="1F497D" w:themeColor="text2"/>
                <w:sz w:val="20"/>
                <w:szCs w:val="20"/>
                <w:lang w:val="en-GB"/>
              </w:rPr>
              <w:t xml:space="preserve"> </w:t>
            </w:r>
          </w:p>
          <w:p w14:paraId="1B9C08F1" w14:textId="77777777" w:rsidR="002E196A" w:rsidRPr="008C1E72" w:rsidRDefault="002E196A" w:rsidP="0077552A">
            <w:pPr>
              <w:rPr>
                <w:rFonts w:cs="Calibri"/>
                <w:color w:val="1F497D" w:themeColor="text2"/>
                <w:sz w:val="4"/>
                <w:szCs w:val="4"/>
                <w:lang w:val="en-GB"/>
              </w:rPr>
            </w:pPr>
          </w:p>
          <w:p w14:paraId="4C0FB5BB" w14:textId="77777777" w:rsidR="00856317" w:rsidRPr="008C1E72" w:rsidRDefault="00856317" w:rsidP="0077552A">
            <w:pPr>
              <w:rPr>
                <w:rFonts w:cs="Calibri"/>
                <w:color w:val="1F497D" w:themeColor="text2"/>
                <w:sz w:val="4"/>
                <w:szCs w:val="4"/>
                <w:lang w:val="en-GB"/>
              </w:rPr>
            </w:pPr>
          </w:p>
          <w:p w14:paraId="11BB98E9" w14:textId="77777777" w:rsidR="00856317" w:rsidRPr="008C1E72" w:rsidRDefault="00856317" w:rsidP="0077552A">
            <w:pPr>
              <w:rPr>
                <w:rFonts w:cs="Calibri"/>
                <w:color w:val="1F497D" w:themeColor="text2"/>
                <w:sz w:val="4"/>
                <w:szCs w:val="4"/>
                <w:lang w:val="en-GB"/>
              </w:rPr>
            </w:pPr>
          </w:p>
          <w:p w14:paraId="64E5CB2E" w14:textId="77777777" w:rsidR="00856317" w:rsidRPr="008C1E72" w:rsidRDefault="00856317" w:rsidP="0077552A">
            <w:pPr>
              <w:rPr>
                <w:rFonts w:cs="Calibri"/>
                <w:color w:val="1F497D" w:themeColor="text2"/>
                <w:sz w:val="4"/>
                <w:szCs w:val="4"/>
                <w:lang w:val="en-GB"/>
              </w:rPr>
            </w:pPr>
          </w:p>
          <w:p w14:paraId="5EB087D0" w14:textId="77777777" w:rsidR="00856317" w:rsidRPr="008C1E72" w:rsidRDefault="00856317" w:rsidP="0077552A">
            <w:pPr>
              <w:rPr>
                <w:rFonts w:cs="Calibri"/>
                <w:color w:val="1F497D" w:themeColor="text2"/>
                <w:sz w:val="4"/>
                <w:szCs w:val="4"/>
                <w:lang w:val="en-GB"/>
              </w:rPr>
            </w:pPr>
          </w:p>
          <w:p w14:paraId="35572A2E" w14:textId="77777777" w:rsidR="00856317" w:rsidRPr="008C1E72" w:rsidRDefault="00856317" w:rsidP="0077552A">
            <w:pPr>
              <w:rPr>
                <w:rFonts w:cs="Calibri"/>
                <w:color w:val="1F497D" w:themeColor="text2"/>
                <w:sz w:val="4"/>
                <w:szCs w:val="4"/>
                <w:lang w:val="en-GB"/>
              </w:rPr>
            </w:pPr>
          </w:p>
          <w:p w14:paraId="6BF9E499" w14:textId="77777777" w:rsidR="00856317" w:rsidRPr="008C1E72" w:rsidRDefault="00856317" w:rsidP="0077552A">
            <w:pPr>
              <w:rPr>
                <w:rFonts w:cs="Calibri"/>
                <w:color w:val="1F497D" w:themeColor="text2"/>
                <w:sz w:val="4"/>
                <w:szCs w:val="4"/>
                <w:lang w:val="en-GB"/>
              </w:rPr>
            </w:pPr>
          </w:p>
          <w:p w14:paraId="6CC3C321" w14:textId="77777777" w:rsidR="00856317" w:rsidRPr="008C1E72" w:rsidRDefault="00856317" w:rsidP="0077552A">
            <w:pPr>
              <w:rPr>
                <w:rFonts w:cs="Calibri"/>
                <w:color w:val="1F497D" w:themeColor="text2"/>
                <w:sz w:val="4"/>
                <w:szCs w:val="4"/>
                <w:lang w:val="en-GB"/>
              </w:rPr>
            </w:pPr>
          </w:p>
          <w:p w14:paraId="2D21CB71" w14:textId="77777777" w:rsidR="00856317" w:rsidRPr="008C1E72" w:rsidRDefault="00856317" w:rsidP="0077552A">
            <w:pPr>
              <w:rPr>
                <w:rFonts w:cs="Calibri"/>
                <w:color w:val="1F497D" w:themeColor="text2"/>
                <w:sz w:val="4"/>
                <w:szCs w:val="4"/>
                <w:lang w:val="en-GB"/>
              </w:rPr>
            </w:pPr>
          </w:p>
          <w:p w14:paraId="04866AAC" w14:textId="77777777" w:rsidR="00856317" w:rsidRPr="008C1E72" w:rsidRDefault="00856317" w:rsidP="00856317">
            <w:pPr>
              <w:rPr>
                <w:rFonts w:cs="Calibri"/>
                <w:sz w:val="20"/>
                <w:szCs w:val="20"/>
                <w:lang w:val="en-GB"/>
              </w:rPr>
            </w:pPr>
          </w:p>
          <w:p w14:paraId="33B6F9F0" w14:textId="77777777" w:rsidR="00856317" w:rsidRPr="008C1E72" w:rsidRDefault="00856317" w:rsidP="00856317">
            <w:pPr>
              <w:rPr>
                <w:rFonts w:cs="Calibri"/>
                <w:sz w:val="20"/>
                <w:szCs w:val="20"/>
                <w:lang w:val="en-GB"/>
              </w:rPr>
            </w:pPr>
            <w:r w:rsidRPr="008C1E72">
              <w:rPr>
                <w:rFonts w:cs="Calibri"/>
                <w:sz w:val="20"/>
                <w:szCs w:val="20"/>
                <w:lang w:val="en-GB"/>
              </w:rPr>
              <w:t xml:space="preserve">For each </w:t>
            </w:r>
            <w:r w:rsidRPr="008C1E72">
              <w:rPr>
                <w:rFonts w:cs="Calibri"/>
                <w:i/>
                <w:sz w:val="20"/>
                <w:szCs w:val="20"/>
                <w:lang w:val="en-GB"/>
              </w:rPr>
              <w:t>source</w:t>
            </w:r>
            <w:r w:rsidRPr="008C1E72">
              <w:rPr>
                <w:rFonts w:cs="Calibri"/>
                <w:sz w:val="20"/>
                <w:szCs w:val="20"/>
                <w:lang w:val="en-GB"/>
              </w:rPr>
              <w:t xml:space="preserve"> of evidence, the particular outputs for the 2017-18 year have been provided; however, these outputs do not in themselves establish performance against the evidence.</w:t>
            </w:r>
          </w:p>
          <w:p w14:paraId="0D9F4189" w14:textId="77777777" w:rsidR="00856317" w:rsidRPr="008C1E72" w:rsidRDefault="00856317" w:rsidP="00856317">
            <w:pPr>
              <w:rPr>
                <w:rFonts w:cs="Calibri"/>
                <w:color w:val="1F497D" w:themeColor="text2"/>
                <w:sz w:val="20"/>
                <w:szCs w:val="20"/>
                <w:lang w:val="en-GB"/>
              </w:rPr>
            </w:pPr>
          </w:p>
        </w:tc>
      </w:tr>
      <w:tr w:rsidR="002E196A" w:rsidRPr="008C1E72" w14:paraId="4EE14592" w14:textId="77777777" w:rsidTr="00625E82">
        <w:trPr>
          <w:cantSplit/>
          <w:trHeight w:val="567"/>
        </w:trPr>
        <w:tc>
          <w:tcPr>
            <w:tcW w:w="5000" w:type="pct"/>
            <w:gridSpan w:val="11"/>
            <w:tcBorders>
              <w:top w:val="single" w:sz="4" w:space="0" w:color="auto"/>
            </w:tcBorders>
            <w:shd w:val="clear" w:color="auto" w:fill="B8CCE4" w:themeFill="accent1" w:themeFillTint="66"/>
            <w:vAlign w:val="center"/>
          </w:tcPr>
          <w:p w14:paraId="284DE1EF" w14:textId="77777777" w:rsidR="002E196A" w:rsidRPr="008C1E72" w:rsidRDefault="002E196A" w:rsidP="0077552A">
            <w:pPr>
              <w:spacing w:after="0"/>
              <w:rPr>
                <w:rFonts w:cs="Calibri"/>
                <w:b/>
                <w:szCs w:val="22"/>
                <w:lang w:val="en-GB"/>
              </w:rPr>
            </w:pPr>
            <w:r w:rsidRPr="008C1E72">
              <w:rPr>
                <w:rFonts w:cs="Calibri"/>
                <w:b/>
                <w:szCs w:val="22"/>
                <w:lang w:val="en-GB"/>
              </w:rPr>
              <w:t>KPI 1 – Regulators do not unnecessarily impede the efficient operation of regulated entities</w:t>
            </w:r>
          </w:p>
        </w:tc>
      </w:tr>
      <w:tr w:rsidR="002E196A" w:rsidRPr="008C1E72" w14:paraId="1580C192" w14:textId="77777777" w:rsidTr="00760E04">
        <w:trPr>
          <w:trHeight w:val="567"/>
        </w:trPr>
        <w:tc>
          <w:tcPr>
            <w:tcW w:w="714" w:type="pct"/>
            <w:gridSpan w:val="3"/>
            <w:shd w:val="clear" w:color="auto" w:fill="BFBFBF" w:themeFill="background1" w:themeFillShade="BF"/>
            <w:vAlign w:val="center"/>
          </w:tcPr>
          <w:p w14:paraId="3336D146" w14:textId="77777777" w:rsidR="002E196A" w:rsidRPr="008C1E72" w:rsidRDefault="002E196A" w:rsidP="0077552A">
            <w:pPr>
              <w:spacing w:after="0"/>
              <w:jc w:val="center"/>
              <w:rPr>
                <w:rFonts w:cs="Calibri"/>
                <w:b/>
                <w:szCs w:val="22"/>
                <w:lang w:val="en-GB"/>
              </w:rPr>
            </w:pPr>
            <w:r w:rsidRPr="008C1E72">
              <w:rPr>
                <w:rFonts w:cs="Calibri"/>
                <w:b/>
                <w:szCs w:val="22"/>
                <w:lang w:val="en-GB"/>
              </w:rPr>
              <w:t>Measures</w:t>
            </w:r>
          </w:p>
        </w:tc>
        <w:tc>
          <w:tcPr>
            <w:tcW w:w="887" w:type="pct"/>
            <w:gridSpan w:val="5"/>
            <w:shd w:val="clear" w:color="auto" w:fill="BFBFBF" w:themeFill="background1" w:themeFillShade="BF"/>
            <w:vAlign w:val="center"/>
          </w:tcPr>
          <w:p w14:paraId="59073F19" w14:textId="77777777" w:rsidR="002E196A" w:rsidRPr="008C1E72" w:rsidRDefault="002E196A" w:rsidP="0077552A">
            <w:pPr>
              <w:spacing w:after="0"/>
              <w:jc w:val="center"/>
              <w:rPr>
                <w:rFonts w:cs="Calibri"/>
                <w:b/>
                <w:szCs w:val="22"/>
                <w:lang w:val="en-GB"/>
              </w:rPr>
            </w:pPr>
            <w:r w:rsidRPr="008C1E72">
              <w:rPr>
                <w:rFonts w:cs="Calibri"/>
                <w:b/>
                <w:szCs w:val="22"/>
                <w:lang w:val="en-GB"/>
              </w:rPr>
              <w:t>Evidence</w:t>
            </w:r>
          </w:p>
        </w:tc>
        <w:tc>
          <w:tcPr>
            <w:tcW w:w="904" w:type="pct"/>
            <w:shd w:val="clear" w:color="auto" w:fill="BFBFBF" w:themeFill="background1" w:themeFillShade="BF"/>
            <w:vAlign w:val="center"/>
          </w:tcPr>
          <w:p w14:paraId="060C85AA" w14:textId="77777777" w:rsidR="002E196A" w:rsidRPr="008C1E72" w:rsidRDefault="002E196A" w:rsidP="0077552A">
            <w:pPr>
              <w:spacing w:after="0"/>
              <w:jc w:val="center"/>
              <w:rPr>
                <w:rFonts w:cs="Calibri"/>
                <w:b/>
                <w:szCs w:val="22"/>
                <w:lang w:val="en-GB"/>
              </w:rPr>
            </w:pPr>
            <w:r w:rsidRPr="008C1E72">
              <w:rPr>
                <w:rFonts w:cs="Calibri"/>
                <w:b/>
                <w:szCs w:val="22"/>
                <w:lang w:val="en-GB"/>
              </w:rPr>
              <w:t xml:space="preserve">Source </w:t>
            </w:r>
          </w:p>
        </w:tc>
        <w:tc>
          <w:tcPr>
            <w:tcW w:w="235" w:type="pct"/>
            <w:shd w:val="clear" w:color="auto" w:fill="BFBFBF" w:themeFill="background1" w:themeFillShade="BF"/>
            <w:vAlign w:val="center"/>
          </w:tcPr>
          <w:p w14:paraId="29708D98" w14:textId="77777777" w:rsidR="002E196A" w:rsidRPr="008C1E72" w:rsidRDefault="002E196A" w:rsidP="0077552A">
            <w:pPr>
              <w:spacing w:after="0"/>
              <w:jc w:val="center"/>
              <w:rPr>
                <w:rFonts w:cs="Calibri"/>
                <w:b/>
                <w:szCs w:val="22"/>
                <w:lang w:val="en-GB"/>
              </w:rPr>
            </w:pPr>
            <w:r w:rsidRPr="008C1E72">
              <w:rPr>
                <w:rFonts w:cs="Calibri"/>
                <w:b/>
                <w:szCs w:val="22"/>
                <w:lang w:val="en-GB"/>
              </w:rPr>
              <w:t>Result</w:t>
            </w:r>
          </w:p>
        </w:tc>
        <w:tc>
          <w:tcPr>
            <w:tcW w:w="2260" w:type="pct"/>
            <w:shd w:val="clear" w:color="auto" w:fill="BFBFBF" w:themeFill="background1" w:themeFillShade="BF"/>
            <w:vAlign w:val="center"/>
          </w:tcPr>
          <w:p w14:paraId="5DF4DAF5" w14:textId="77777777" w:rsidR="002E196A" w:rsidRPr="008C1E72" w:rsidRDefault="002E196A" w:rsidP="0077552A">
            <w:pPr>
              <w:spacing w:after="0"/>
              <w:jc w:val="center"/>
              <w:rPr>
                <w:rFonts w:cs="Calibri"/>
                <w:b/>
                <w:szCs w:val="22"/>
                <w:lang w:val="en-GB"/>
              </w:rPr>
            </w:pPr>
            <w:r w:rsidRPr="008C1E72">
              <w:rPr>
                <w:rFonts w:cs="Calibri"/>
                <w:b/>
                <w:szCs w:val="22"/>
                <w:lang w:val="en-GB"/>
              </w:rPr>
              <w:t>Analysis</w:t>
            </w:r>
          </w:p>
        </w:tc>
      </w:tr>
      <w:tr w:rsidR="002E196A" w:rsidRPr="008C1E72" w14:paraId="2E4FA75F" w14:textId="77777777" w:rsidTr="00625E82">
        <w:trPr>
          <w:trHeight w:val="408"/>
        </w:trPr>
        <w:tc>
          <w:tcPr>
            <w:tcW w:w="91" w:type="pct"/>
            <w:vMerge w:val="restart"/>
            <w:shd w:val="clear" w:color="auto" w:fill="D9D9D9" w:themeFill="background1" w:themeFillShade="D9"/>
            <w:vAlign w:val="center"/>
          </w:tcPr>
          <w:p w14:paraId="078ECC58" w14:textId="77777777" w:rsidR="002E196A" w:rsidRPr="008C1E72" w:rsidRDefault="002E196A" w:rsidP="0077552A">
            <w:pPr>
              <w:suppressAutoHyphens/>
              <w:jc w:val="center"/>
              <w:rPr>
                <w:rFonts w:cs="Calibri"/>
                <w:b/>
                <w:szCs w:val="22"/>
                <w:lang w:val="en-GB"/>
              </w:rPr>
            </w:pPr>
            <w:r w:rsidRPr="008C1E72">
              <w:rPr>
                <w:rFonts w:cs="Calibri"/>
                <w:b/>
                <w:szCs w:val="22"/>
                <w:lang w:val="en-GB"/>
              </w:rPr>
              <w:t>A</w:t>
            </w:r>
          </w:p>
        </w:tc>
        <w:tc>
          <w:tcPr>
            <w:tcW w:w="623" w:type="pct"/>
            <w:gridSpan w:val="2"/>
            <w:vMerge w:val="restart"/>
            <w:shd w:val="clear" w:color="auto" w:fill="auto"/>
            <w:vAlign w:val="center"/>
          </w:tcPr>
          <w:p w14:paraId="0C41F854" w14:textId="77777777" w:rsidR="002E196A" w:rsidRPr="008C1E72" w:rsidRDefault="002E196A" w:rsidP="0077552A">
            <w:pPr>
              <w:spacing w:after="0"/>
              <w:rPr>
                <w:rFonts w:cs="Calibri"/>
                <w:szCs w:val="22"/>
                <w:lang w:val="en-GB"/>
              </w:rPr>
            </w:pPr>
            <w:r w:rsidRPr="008C1E72">
              <w:rPr>
                <w:rFonts w:cs="Calibri"/>
                <w:szCs w:val="22"/>
                <w:lang w:val="en-GB"/>
              </w:rPr>
              <w:t>Regulators demonstrate an understanding of the operating environment of the industry or organisation, or the circumstances of individuals and the current and emerging issues that affect the sector.</w:t>
            </w:r>
          </w:p>
        </w:tc>
        <w:tc>
          <w:tcPr>
            <w:tcW w:w="132" w:type="pct"/>
            <w:gridSpan w:val="2"/>
            <w:shd w:val="clear" w:color="auto" w:fill="D9D9D9" w:themeFill="background1" w:themeFillShade="D9"/>
            <w:vAlign w:val="center"/>
          </w:tcPr>
          <w:p w14:paraId="59E0765F" w14:textId="77777777" w:rsidR="002E196A" w:rsidRPr="008C1E72" w:rsidRDefault="002E196A" w:rsidP="0077552A">
            <w:pPr>
              <w:suppressAutoHyphens/>
              <w:jc w:val="center"/>
              <w:rPr>
                <w:rFonts w:cs="Calibri"/>
                <w:b/>
                <w:szCs w:val="22"/>
                <w:lang w:val="en-GB"/>
              </w:rPr>
            </w:pPr>
            <w:r w:rsidRPr="008C1E72">
              <w:rPr>
                <w:rFonts w:cs="Calibri"/>
                <w:b/>
                <w:szCs w:val="22"/>
                <w:lang w:val="en-GB"/>
              </w:rPr>
              <w:t>1.1</w:t>
            </w:r>
          </w:p>
        </w:tc>
        <w:tc>
          <w:tcPr>
            <w:tcW w:w="755" w:type="pct"/>
            <w:gridSpan w:val="3"/>
            <w:shd w:val="clear" w:color="auto" w:fill="auto"/>
            <w:vAlign w:val="center"/>
          </w:tcPr>
          <w:p w14:paraId="1329FBC6" w14:textId="77777777" w:rsidR="002E196A" w:rsidRPr="008C1E72" w:rsidRDefault="002E196A" w:rsidP="0077552A">
            <w:pPr>
              <w:spacing w:after="0"/>
              <w:rPr>
                <w:rFonts w:cs="Calibri"/>
                <w:b/>
                <w:szCs w:val="22"/>
                <w:lang w:val="en-GB"/>
              </w:rPr>
            </w:pPr>
            <w:r w:rsidRPr="008C1E72">
              <w:rPr>
                <w:rFonts w:cs="Calibri"/>
                <w:b/>
                <w:szCs w:val="22"/>
                <w:lang w:val="en-GB"/>
              </w:rPr>
              <w:t>Targeted consultation with the charity sector held at least once every quarter</w:t>
            </w:r>
          </w:p>
        </w:tc>
        <w:tc>
          <w:tcPr>
            <w:tcW w:w="904" w:type="pct"/>
            <w:shd w:val="clear" w:color="auto" w:fill="auto"/>
            <w:vAlign w:val="center"/>
          </w:tcPr>
          <w:p w14:paraId="4CAC8590" w14:textId="77777777" w:rsidR="002E196A" w:rsidRPr="008C1E72" w:rsidRDefault="000C47AB" w:rsidP="0077552A">
            <w:pPr>
              <w:spacing w:after="0"/>
              <w:rPr>
                <w:rFonts w:cs="Calibri"/>
                <w:color w:val="1F497D" w:themeColor="text2"/>
                <w:szCs w:val="22"/>
                <w:lang w:val="en-GB"/>
              </w:rPr>
            </w:pPr>
            <w:r w:rsidRPr="008C1E72">
              <w:rPr>
                <w:rFonts w:cs="Calibri"/>
                <w:color w:val="1F497D" w:themeColor="text2"/>
                <w:szCs w:val="22"/>
                <w:lang w:val="en-GB"/>
              </w:rPr>
              <w:t>3 Sector User Group meetings</w:t>
            </w:r>
            <w:r w:rsidR="002E196A" w:rsidRPr="008C1E72">
              <w:rPr>
                <w:rFonts w:cs="Calibri"/>
                <w:color w:val="1F497D" w:themeColor="text2"/>
                <w:szCs w:val="22"/>
                <w:lang w:val="en-GB"/>
              </w:rPr>
              <w:t xml:space="preserve"> </w:t>
            </w:r>
          </w:p>
          <w:p w14:paraId="118CCCB7" w14:textId="77777777" w:rsidR="00BB2187" w:rsidRPr="008C1E72" w:rsidRDefault="00BB2187" w:rsidP="0077552A">
            <w:pPr>
              <w:spacing w:after="0"/>
              <w:rPr>
                <w:rFonts w:cs="Calibri"/>
                <w:color w:val="1F497D" w:themeColor="text2"/>
                <w:szCs w:val="22"/>
                <w:lang w:val="en-GB"/>
              </w:rPr>
            </w:pPr>
          </w:p>
          <w:p w14:paraId="6196556E" w14:textId="77777777" w:rsidR="002E196A" w:rsidRPr="008C1E72" w:rsidRDefault="000C47AB" w:rsidP="0077552A">
            <w:pPr>
              <w:spacing w:after="0"/>
              <w:rPr>
                <w:rFonts w:cs="Calibri"/>
                <w:color w:val="1F497D" w:themeColor="text2"/>
                <w:szCs w:val="22"/>
                <w:lang w:val="en-GB"/>
              </w:rPr>
            </w:pPr>
            <w:r w:rsidRPr="008C1E72">
              <w:rPr>
                <w:rFonts w:cs="Calibri"/>
                <w:color w:val="1F497D" w:themeColor="text2"/>
                <w:szCs w:val="22"/>
                <w:lang w:val="en-GB"/>
              </w:rPr>
              <w:t xml:space="preserve">3 </w:t>
            </w:r>
            <w:r w:rsidR="002E196A" w:rsidRPr="008C1E72">
              <w:rPr>
                <w:rFonts w:cs="Calibri"/>
                <w:color w:val="1F497D" w:themeColor="text2"/>
                <w:szCs w:val="22"/>
                <w:lang w:val="en-GB"/>
              </w:rPr>
              <w:t>Pro</w:t>
            </w:r>
            <w:r w:rsidRPr="008C1E72">
              <w:rPr>
                <w:rFonts w:cs="Calibri"/>
                <w:color w:val="1F497D" w:themeColor="text2"/>
                <w:szCs w:val="22"/>
                <w:lang w:val="en-GB"/>
              </w:rPr>
              <w:t>fessional User Group meetings</w:t>
            </w:r>
          </w:p>
          <w:p w14:paraId="5F584BB4" w14:textId="77777777" w:rsidR="00BB2187" w:rsidRPr="008C1E72" w:rsidRDefault="00BB2187" w:rsidP="0077552A">
            <w:pPr>
              <w:spacing w:after="0"/>
              <w:rPr>
                <w:rFonts w:cs="Calibri"/>
                <w:color w:val="1F497D" w:themeColor="text2"/>
                <w:szCs w:val="22"/>
                <w:lang w:val="en-GB"/>
              </w:rPr>
            </w:pPr>
          </w:p>
          <w:p w14:paraId="595D2410" w14:textId="77777777" w:rsidR="002A6BE4" w:rsidRPr="008C1E72" w:rsidRDefault="000C47AB" w:rsidP="0077552A">
            <w:pPr>
              <w:spacing w:after="0"/>
              <w:rPr>
                <w:rFonts w:cs="Calibri"/>
                <w:color w:val="1F497D" w:themeColor="text2"/>
                <w:szCs w:val="22"/>
                <w:lang w:val="en-GB"/>
              </w:rPr>
            </w:pPr>
            <w:r w:rsidRPr="008C1E72">
              <w:rPr>
                <w:rFonts w:cs="Calibri"/>
                <w:color w:val="1F497D" w:themeColor="text2"/>
                <w:szCs w:val="22"/>
                <w:lang w:val="en-GB"/>
              </w:rPr>
              <w:t>61 speaking engagements</w:t>
            </w:r>
          </w:p>
          <w:p w14:paraId="653D5453" w14:textId="77777777" w:rsidR="00BB2187" w:rsidRPr="008C1E72" w:rsidRDefault="00BB2187" w:rsidP="0077552A">
            <w:pPr>
              <w:spacing w:after="0"/>
              <w:rPr>
                <w:rFonts w:cs="Calibri"/>
                <w:color w:val="1F497D" w:themeColor="text2"/>
                <w:szCs w:val="22"/>
                <w:lang w:val="en-GB"/>
              </w:rPr>
            </w:pPr>
          </w:p>
          <w:p w14:paraId="7CD8DE2C" w14:textId="77777777" w:rsidR="002A6BE4" w:rsidRPr="008C1E72" w:rsidRDefault="000C47AB" w:rsidP="0077552A">
            <w:pPr>
              <w:spacing w:after="0"/>
              <w:rPr>
                <w:rFonts w:cs="Calibri"/>
                <w:color w:val="1F497D" w:themeColor="text2"/>
                <w:szCs w:val="22"/>
                <w:lang w:val="en-GB"/>
              </w:rPr>
            </w:pPr>
            <w:r w:rsidRPr="008C1E72">
              <w:rPr>
                <w:rFonts w:cs="Calibri"/>
                <w:color w:val="1F497D" w:themeColor="text2"/>
                <w:szCs w:val="22"/>
                <w:lang w:val="en-GB"/>
              </w:rPr>
              <w:t>279 s</w:t>
            </w:r>
            <w:r w:rsidR="002A6BE4" w:rsidRPr="008C1E72">
              <w:rPr>
                <w:rFonts w:cs="Calibri"/>
                <w:color w:val="1F497D" w:themeColor="text2"/>
                <w:szCs w:val="22"/>
                <w:lang w:val="en-GB"/>
              </w:rPr>
              <w:t>takeholder meetings</w:t>
            </w:r>
          </w:p>
          <w:p w14:paraId="26D03F03" w14:textId="77777777" w:rsidR="002E196A" w:rsidRPr="008C1E72" w:rsidRDefault="002E196A" w:rsidP="00686C34">
            <w:pPr>
              <w:spacing w:after="0"/>
              <w:rPr>
                <w:rFonts w:cs="Calibri"/>
                <w:szCs w:val="22"/>
                <w:highlight w:val="yellow"/>
                <w:lang w:val="en-GB"/>
              </w:rPr>
            </w:pPr>
          </w:p>
        </w:tc>
        <w:tc>
          <w:tcPr>
            <w:tcW w:w="235" w:type="pct"/>
          </w:tcPr>
          <w:p w14:paraId="1E0E27D7" w14:textId="77777777" w:rsidR="002E196A" w:rsidRPr="008C1E72" w:rsidRDefault="002E196A" w:rsidP="0077552A">
            <w:pPr>
              <w:spacing w:after="0"/>
              <w:jc w:val="center"/>
              <w:rPr>
                <w:rFonts w:cs="Calibri"/>
                <w:color w:val="1F497D" w:themeColor="text2"/>
                <w:szCs w:val="22"/>
                <w:highlight w:val="yellow"/>
                <w:lang w:val="en-GB"/>
              </w:rPr>
            </w:pPr>
          </w:p>
          <w:p w14:paraId="201B1D1A" w14:textId="77777777" w:rsidR="00E31886" w:rsidRPr="008C1E72" w:rsidRDefault="00E31886" w:rsidP="0077552A">
            <w:pPr>
              <w:spacing w:after="0"/>
              <w:jc w:val="center"/>
              <w:rPr>
                <w:rFonts w:cs="Calibri"/>
                <w:color w:val="1F497D" w:themeColor="text2"/>
                <w:szCs w:val="22"/>
                <w:lang w:val="en-GB"/>
              </w:rPr>
            </w:pPr>
          </w:p>
          <w:p w14:paraId="4B38388D" w14:textId="77777777" w:rsidR="00E31886" w:rsidRPr="008C1E72" w:rsidRDefault="00E31886" w:rsidP="0077552A">
            <w:pPr>
              <w:spacing w:after="0"/>
              <w:jc w:val="center"/>
              <w:rPr>
                <w:rFonts w:cs="Calibri"/>
                <w:color w:val="1F497D" w:themeColor="text2"/>
                <w:szCs w:val="22"/>
                <w:lang w:val="en-GB"/>
              </w:rPr>
            </w:pPr>
          </w:p>
          <w:p w14:paraId="46DE455A" w14:textId="77777777" w:rsidR="00E31886" w:rsidRPr="008C1E72" w:rsidRDefault="00E31886" w:rsidP="0077552A">
            <w:pPr>
              <w:spacing w:after="0"/>
              <w:jc w:val="center"/>
              <w:rPr>
                <w:rFonts w:cs="Calibri"/>
                <w:color w:val="1F497D" w:themeColor="text2"/>
                <w:szCs w:val="22"/>
                <w:lang w:val="en-GB"/>
              </w:rPr>
            </w:pPr>
          </w:p>
          <w:p w14:paraId="58175626" w14:textId="77777777" w:rsidR="00E31886" w:rsidRPr="008C1E72" w:rsidRDefault="00E31886" w:rsidP="0077552A">
            <w:pPr>
              <w:spacing w:after="0"/>
              <w:jc w:val="center"/>
              <w:rPr>
                <w:rFonts w:cs="Calibri"/>
                <w:color w:val="1F497D" w:themeColor="text2"/>
                <w:szCs w:val="22"/>
                <w:lang w:val="en-GB"/>
              </w:rPr>
            </w:pPr>
          </w:p>
          <w:p w14:paraId="1250E273" w14:textId="77777777" w:rsidR="00E31886" w:rsidRPr="008C1E72" w:rsidRDefault="00E31886" w:rsidP="0077552A">
            <w:pPr>
              <w:spacing w:after="0"/>
              <w:jc w:val="center"/>
              <w:rPr>
                <w:rFonts w:cs="Calibri"/>
                <w:color w:val="1F497D" w:themeColor="text2"/>
                <w:szCs w:val="22"/>
                <w:lang w:val="en-GB"/>
              </w:rPr>
            </w:pPr>
          </w:p>
          <w:p w14:paraId="440C05CE" w14:textId="77777777" w:rsidR="00E31886" w:rsidRPr="008C1E72" w:rsidRDefault="00E31886" w:rsidP="0077552A">
            <w:pPr>
              <w:spacing w:after="0"/>
              <w:jc w:val="center"/>
              <w:rPr>
                <w:rFonts w:cs="Calibri"/>
                <w:color w:val="1F497D" w:themeColor="text2"/>
                <w:szCs w:val="22"/>
                <w:lang w:val="en-GB"/>
              </w:rPr>
            </w:pPr>
          </w:p>
          <w:p w14:paraId="1C479A3D" w14:textId="77777777" w:rsidR="00E31886" w:rsidRPr="008C1E72" w:rsidRDefault="00E31886" w:rsidP="0077552A">
            <w:pPr>
              <w:spacing w:after="0"/>
              <w:jc w:val="center"/>
              <w:rPr>
                <w:rFonts w:cs="Calibri"/>
                <w:color w:val="1F497D" w:themeColor="text2"/>
                <w:szCs w:val="22"/>
                <w:lang w:val="en-GB"/>
              </w:rPr>
            </w:pPr>
          </w:p>
          <w:p w14:paraId="01F4C6F1" w14:textId="77777777" w:rsidR="00E31886" w:rsidRPr="008C1E72" w:rsidRDefault="00E31886" w:rsidP="0077552A">
            <w:pPr>
              <w:spacing w:after="0"/>
              <w:jc w:val="center"/>
              <w:rPr>
                <w:rFonts w:cs="Calibri"/>
                <w:color w:val="1F497D" w:themeColor="text2"/>
                <w:szCs w:val="22"/>
                <w:lang w:val="en-GB"/>
              </w:rPr>
            </w:pPr>
          </w:p>
          <w:p w14:paraId="2680C88B" w14:textId="77777777" w:rsidR="00E31886" w:rsidRPr="008C1E72" w:rsidRDefault="00E31886" w:rsidP="0077552A">
            <w:pPr>
              <w:spacing w:after="0"/>
              <w:jc w:val="center"/>
              <w:rPr>
                <w:rFonts w:cs="Calibri"/>
                <w:color w:val="1F497D" w:themeColor="text2"/>
                <w:szCs w:val="22"/>
                <w:lang w:val="en-GB"/>
              </w:rPr>
            </w:pPr>
          </w:p>
          <w:p w14:paraId="359A50CB" w14:textId="77777777" w:rsidR="00E31886" w:rsidRPr="008C1E72" w:rsidRDefault="00E31886" w:rsidP="0077552A">
            <w:pPr>
              <w:spacing w:after="0"/>
              <w:jc w:val="center"/>
              <w:rPr>
                <w:rFonts w:cs="Calibri"/>
                <w:color w:val="1F497D" w:themeColor="text2"/>
                <w:szCs w:val="22"/>
                <w:lang w:val="en-GB"/>
              </w:rPr>
            </w:pPr>
          </w:p>
          <w:p w14:paraId="7C1A537C" w14:textId="77777777" w:rsidR="002E196A" w:rsidRPr="008C1E72" w:rsidRDefault="002E196A" w:rsidP="0077552A">
            <w:pPr>
              <w:spacing w:after="0"/>
              <w:jc w:val="center"/>
              <w:rPr>
                <w:rFonts w:cs="Calibri"/>
                <w:color w:val="1F497D" w:themeColor="text2"/>
                <w:szCs w:val="22"/>
                <w:highlight w:val="yellow"/>
                <w:lang w:val="en-GB"/>
              </w:rPr>
            </w:pPr>
            <w:r w:rsidRPr="008C1E72">
              <w:rPr>
                <w:rFonts w:cs="Calibri"/>
                <w:noProof/>
                <w:color w:val="1F497D" w:themeColor="text2"/>
                <w:szCs w:val="22"/>
                <w:lang w:eastAsia="en-AU"/>
              </w:rPr>
              <w:drawing>
                <wp:inline distT="0" distB="0" distL="0" distR="0" wp14:anchorId="39ACE086" wp14:editId="382E4A2C">
                  <wp:extent cx="201295" cy="21336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vAlign w:val="center"/>
          </w:tcPr>
          <w:p w14:paraId="1901B0CA" w14:textId="77777777" w:rsidR="002E196A" w:rsidRPr="008C1E72" w:rsidRDefault="002E196A" w:rsidP="008963E0">
            <w:pPr>
              <w:pStyle w:val="BodyText2"/>
              <w:spacing w:before="120" w:after="120"/>
              <w:rPr>
                <w:rFonts w:cs="Calibri"/>
                <w:b/>
                <w:color w:val="1F497D" w:themeColor="text2"/>
              </w:rPr>
            </w:pPr>
            <w:r w:rsidRPr="008C1E72">
              <w:rPr>
                <w:rFonts w:cs="Calibri"/>
                <w:b/>
                <w:color w:val="1F497D" w:themeColor="text2"/>
              </w:rPr>
              <w:t>Targeted consultation</w:t>
            </w:r>
          </w:p>
          <w:p w14:paraId="70E7E8DB" w14:textId="77777777" w:rsidR="002E196A" w:rsidRPr="008C1E72" w:rsidRDefault="002E196A" w:rsidP="00E31886">
            <w:pPr>
              <w:keepNext/>
              <w:keepLines/>
              <w:spacing w:before="120"/>
              <w:outlineLvl w:val="3"/>
              <w:rPr>
                <w:rFonts w:eastAsiaTheme="majorEastAsia" w:cs="Calibri"/>
                <w:i/>
                <w:iCs/>
                <w:color w:val="1F497D" w:themeColor="text2"/>
                <w:sz w:val="24"/>
                <w:szCs w:val="22"/>
                <w:lang w:val="en-GB"/>
              </w:rPr>
            </w:pPr>
            <w:r w:rsidRPr="008C1E72">
              <w:rPr>
                <w:rFonts w:eastAsiaTheme="majorEastAsia" w:cs="Calibri"/>
                <w:i/>
                <w:iCs/>
                <w:color w:val="1F497D" w:themeColor="text2"/>
                <w:sz w:val="24"/>
                <w:szCs w:val="22"/>
                <w:lang w:val="en-GB"/>
              </w:rPr>
              <w:t>User Groups</w:t>
            </w:r>
          </w:p>
          <w:p w14:paraId="0BDD1199" w14:textId="77777777" w:rsidR="002E196A" w:rsidRPr="008C1E72" w:rsidRDefault="002E196A" w:rsidP="0077552A">
            <w:pPr>
              <w:shd w:val="clear" w:color="auto" w:fill="FFFFFF" w:themeFill="background1"/>
              <w:rPr>
                <w:rFonts w:eastAsia="Arial" w:cs="Calibri"/>
                <w:color w:val="1F497D" w:themeColor="text2"/>
                <w:lang w:val="en-GB"/>
              </w:rPr>
            </w:pPr>
            <w:r w:rsidRPr="008C1E72">
              <w:rPr>
                <w:rFonts w:eastAsia="Arial" w:cs="Calibri"/>
                <w:color w:val="1F497D" w:themeColor="text2"/>
                <w:lang w:val="en-GB"/>
              </w:rPr>
              <w:t xml:space="preserve">We engage with charity sector representatives through two user groups, the Professional User Group and the Sector User Group. The Professional User Group (PUG) comprises professional advisers </w:t>
            </w:r>
            <w:r w:rsidR="005F4178" w:rsidRPr="008C1E72">
              <w:rPr>
                <w:rFonts w:eastAsia="Arial" w:cs="Calibri"/>
                <w:color w:val="1F497D" w:themeColor="text2"/>
                <w:lang w:val="en-GB"/>
              </w:rPr>
              <w:t>(</w:t>
            </w:r>
            <w:r w:rsidRPr="008C1E72">
              <w:rPr>
                <w:rFonts w:eastAsia="Arial" w:cs="Calibri"/>
                <w:color w:val="1F497D" w:themeColor="text2"/>
                <w:lang w:val="en-GB"/>
              </w:rPr>
              <w:t>mainly accountants and lawyers</w:t>
            </w:r>
            <w:r w:rsidR="005F4178" w:rsidRPr="008C1E72">
              <w:rPr>
                <w:rFonts w:eastAsia="Arial" w:cs="Calibri"/>
                <w:color w:val="1F497D" w:themeColor="text2"/>
                <w:lang w:val="en-GB"/>
              </w:rPr>
              <w:t>)</w:t>
            </w:r>
            <w:r w:rsidRPr="008C1E72">
              <w:rPr>
                <w:rFonts w:eastAsia="Arial" w:cs="Calibri"/>
                <w:color w:val="1F497D" w:themeColor="text2"/>
                <w:lang w:val="en-GB"/>
              </w:rPr>
              <w:t xml:space="preserve"> who comment on matters of procedure, new guidance and publications. </w:t>
            </w:r>
          </w:p>
          <w:p w14:paraId="3AF8CDC2" w14:textId="77777777" w:rsidR="002B339F" w:rsidRPr="008C1E72" w:rsidRDefault="002E196A" w:rsidP="0077552A">
            <w:pPr>
              <w:shd w:val="clear" w:color="auto" w:fill="FFFFFF" w:themeFill="background1"/>
              <w:rPr>
                <w:rFonts w:eastAsia="Arial" w:cs="Calibri"/>
                <w:color w:val="1F497D" w:themeColor="text2"/>
                <w:lang w:val="en-GB"/>
              </w:rPr>
            </w:pPr>
            <w:r w:rsidRPr="008C1E72">
              <w:rPr>
                <w:rFonts w:eastAsia="Arial" w:cs="Calibri"/>
                <w:color w:val="1F497D" w:themeColor="text2"/>
                <w:lang w:val="en-GB"/>
              </w:rPr>
              <w:t xml:space="preserve">The Sector User Group (SUG) comprises representatives of peak bodies and charities, who comment on matters of procedure, new guidance and publications, and our interactions with and regulation of registered charities. </w:t>
            </w:r>
          </w:p>
          <w:p w14:paraId="75FA67A3" w14:textId="77777777" w:rsidR="002E196A" w:rsidRPr="008C1E72" w:rsidRDefault="002E196A" w:rsidP="0077552A">
            <w:pPr>
              <w:shd w:val="clear" w:color="auto" w:fill="FFFFFF" w:themeFill="background1"/>
              <w:rPr>
                <w:rFonts w:eastAsia="Arial" w:cs="Calibri"/>
                <w:color w:val="1F497D" w:themeColor="text2"/>
                <w:lang w:val="en-GB"/>
              </w:rPr>
            </w:pPr>
            <w:r w:rsidRPr="008C1E72">
              <w:rPr>
                <w:rFonts w:eastAsia="Arial" w:cs="Calibri"/>
                <w:color w:val="1F497D" w:themeColor="text2"/>
                <w:lang w:val="en-GB"/>
              </w:rPr>
              <w:t>In 201</w:t>
            </w:r>
            <w:r w:rsidR="007848EB" w:rsidRPr="008C1E72">
              <w:rPr>
                <w:rFonts w:eastAsia="Arial" w:cs="Calibri"/>
                <w:color w:val="1F497D" w:themeColor="text2"/>
                <w:lang w:val="en-GB"/>
              </w:rPr>
              <w:t>7</w:t>
            </w:r>
            <w:r w:rsidRPr="008C1E72">
              <w:rPr>
                <w:rFonts w:eastAsia="Arial" w:cs="Calibri"/>
                <w:color w:val="1F497D" w:themeColor="text2"/>
                <w:lang w:val="en-GB"/>
              </w:rPr>
              <w:t>–1</w:t>
            </w:r>
            <w:r w:rsidR="007848EB" w:rsidRPr="008C1E72">
              <w:rPr>
                <w:rFonts w:eastAsia="Arial" w:cs="Calibri"/>
                <w:color w:val="1F497D" w:themeColor="text2"/>
                <w:lang w:val="en-GB"/>
              </w:rPr>
              <w:t>8</w:t>
            </w:r>
            <w:r w:rsidRPr="008C1E72">
              <w:rPr>
                <w:rFonts w:eastAsia="Arial" w:cs="Calibri"/>
                <w:color w:val="1F497D" w:themeColor="text2"/>
                <w:lang w:val="en-GB"/>
              </w:rPr>
              <w:t>, we hosted three Professional User Group meetings and three Sector User Group meetings.</w:t>
            </w:r>
          </w:p>
          <w:p w14:paraId="2266C217" w14:textId="77777777" w:rsidR="00DC1825" w:rsidRPr="008C1E72" w:rsidRDefault="00DC1825" w:rsidP="005F4178">
            <w:pPr>
              <w:keepNext/>
              <w:keepLines/>
              <w:spacing w:before="120"/>
              <w:outlineLvl w:val="3"/>
              <w:rPr>
                <w:rFonts w:eastAsiaTheme="majorEastAsia" w:cs="Calibri"/>
                <w:i/>
                <w:iCs/>
                <w:color w:val="1F497D" w:themeColor="text2"/>
                <w:sz w:val="24"/>
                <w:szCs w:val="22"/>
                <w:lang w:val="en-GB"/>
              </w:rPr>
            </w:pPr>
            <w:r w:rsidRPr="008C1E72">
              <w:rPr>
                <w:rFonts w:eastAsiaTheme="majorEastAsia" w:cs="Calibri"/>
                <w:i/>
                <w:iCs/>
                <w:color w:val="1F497D" w:themeColor="text2"/>
                <w:sz w:val="24"/>
                <w:szCs w:val="22"/>
                <w:lang w:val="en-GB"/>
              </w:rPr>
              <w:t xml:space="preserve">Other targeted consultation </w:t>
            </w:r>
          </w:p>
          <w:p w14:paraId="5B30B928" w14:textId="77777777" w:rsidR="00DC1825" w:rsidRPr="008C1E72" w:rsidRDefault="00DC1825" w:rsidP="00DC1825">
            <w:pPr>
              <w:spacing w:before="120"/>
              <w:rPr>
                <w:rFonts w:cs="Calibri"/>
                <w:color w:val="1F497D" w:themeColor="text2"/>
                <w:szCs w:val="22"/>
                <w:lang w:val="en-GB"/>
              </w:rPr>
            </w:pPr>
            <w:r w:rsidRPr="008C1E72">
              <w:rPr>
                <w:rFonts w:cs="Calibri"/>
                <w:color w:val="1F497D" w:themeColor="text2"/>
                <w:szCs w:val="22"/>
                <w:lang w:val="en-GB"/>
              </w:rPr>
              <w:t xml:space="preserve">In August 2017, the ACNC hosted an event in Canberra to discuss and explain the new streamlined reporting arrangements for charities in the ACT. </w:t>
            </w:r>
          </w:p>
          <w:p w14:paraId="773C1456" w14:textId="77777777" w:rsidR="00DC1825" w:rsidRPr="008C1E72" w:rsidRDefault="00DC1825" w:rsidP="00DC1825">
            <w:pPr>
              <w:spacing w:before="120"/>
              <w:rPr>
                <w:rFonts w:cs="Calibri"/>
                <w:color w:val="1F497D" w:themeColor="text2"/>
                <w:szCs w:val="22"/>
                <w:lang w:val="en-GB"/>
              </w:rPr>
            </w:pPr>
            <w:r w:rsidRPr="008C1E72">
              <w:rPr>
                <w:rFonts w:cs="Calibri"/>
                <w:color w:val="1F497D" w:themeColor="text2"/>
                <w:szCs w:val="22"/>
                <w:lang w:val="en-GB"/>
              </w:rPr>
              <w:t>Our Executive team completed over 61 speaking engagements in 2017-18, at events including conferences, roundtables and Annual General Meetings. We also participated in 279 stakeholder meetings with charities, sector representatives and peak bodies on a variety of topics important to the charity sector.</w:t>
            </w:r>
          </w:p>
          <w:p w14:paraId="56E51B28" w14:textId="77777777" w:rsidR="002E196A" w:rsidRPr="008C1E72" w:rsidRDefault="002E196A" w:rsidP="00E10A4D">
            <w:pPr>
              <w:spacing w:before="120"/>
              <w:rPr>
                <w:rFonts w:cs="Calibri"/>
                <w:color w:val="1F497D" w:themeColor="text2"/>
                <w:szCs w:val="22"/>
                <w:lang w:val="en-GB"/>
              </w:rPr>
            </w:pPr>
            <w:r w:rsidRPr="008C1E72">
              <w:rPr>
                <w:rFonts w:cs="Calibri"/>
                <w:color w:val="1F497D" w:themeColor="text2"/>
                <w:szCs w:val="22"/>
                <w:lang w:val="en-GB"/>
              </w:rPr>
              <w:t xml:space="preserve">We </w:t>
            </w:r>
            <w:r w:rsidR="00310B5D" w:rsidRPr="008C1E72">
              <w:rPr>
                <w:rFonts w:cs="Calibri"/>
                <w:color w:val="1F497D" w:themeColor="text2"/>
                <w:szCs w:val="22"/>
                <w:lang w:val="en-GB"/>
              </w:rPr>
              <w:t xml:space="preserve">also </w:t>
            </w:r>
            <w:r w:rsidRPr="008C1E72">
              <w:rPr>
                <w:rFonts w:cs="Calibri"/>
                <w:color w:val="1F497D" w:themeColor="text2"/>
                <w:szCs w:val="22"/>
                <w:lang w:val="en-GB"/>
              </w:rPr>
              <w:t>attended all not-for-profit–related roundtable sessions held by the Australian Accounting Standards Board in this financial year.</w:t>
            </w:r>
          </w:p>
        </w:tc>
      </w:tr>
      <w:tr w:rsidR="002E196A" w:rsidRPr="008C1E72" w14:paraId="5C88BB9C" w14:textId="77777777" w:rsidTr="00625E82">
        <w:trPr>
          <w:trHeight w:val="566"/>
        </w:trPr>
        <w:tc>
          <w:tcPr>
            <w:tcW w:w="91" w:type="pct"/>
            <w:vMerge/>
            <w:tcBorders>
              <w:bottom w:val="single" w:sz="4" w:space="0" w:color="auto"/>
            </w:tcBorders>
            <w:shd w:val="clear" w:color="auto" w:fill="D9D9D9" w:themeFill="background1" w:themeFillShade="D9"/>
            <w:vAlign w:val="center"/>
          </w:tcPr>
          <w:p w14:paraId="40D4B92F" w14:textId="77777777" w:rsidR="002E196A" w:rsidRPr="008C1E72" w:rsidRDefault="002E196A" w:rsidP="0077552A">
            <w:pPr>
              <w:suppressAutoHyphens/>
              <w:jc w:val="center"/>
              <w:rPr>
                <w:rFonts w:cs="Calibri"/>
                <w:b/>
                <w:szCs w:val="22"/>
                <w:lang w:val="en-GB"/>
              </w:rPr>
            </w:pPr>
          </w:p>
        </w:tc>
        <w:tc>
          <w:tcPr>
            <w:tcW w:w="623" w:type="pct"/>
            <w:gridSpan w:val="2"/>
            <w:vMerge/>
            <w:tcBorders>
              <w:bottom w:val="single" w:sz="4" w:space="0" w:color="auto"/>
            </w:tcBorders>
            <w:shd w:val="clear" w:color="auto" w:fill="auto"/>
            <w:vAlign w:val="center"/>
          </w:tcPr>
          <w:p w14:paraId="3BD11977" w14:textId="77777777" w:rsidR="002E196A" w:rsidRPr="008C1E72" w:rsidRDefault="002E196A" w:rsidP="0077552A">
            <w:pPr>
              <w:spacing w:after="0"/>
              <w:rPr>
                <w:rFonts w:cs="Calibri"/>
                <w:szCs w:val="22"/>
                <w:lang w:val="en-GB"/>
              </w:rPr>
            </w:pPr>
          </w:p>
        </w:tc>
        <w:tc>
          <w:tcPr>
            <w:tcW w:w="132" w:type="pct"/>
            <w:gridSpan w:val="2"/>
            <w:tcBorders>
              <w:bottom w:val="single" w:sz="4" w:space="0" w:color="auto"/>
            </w:tcBorders>
            <w:shd w:val="clear" w:color="auto" w:fill="D9D9D9" w:themeFill="background1" w:themeFillShade="D9"/>
            <w:vAlign w:val="center"/>
          </w:tcPr>
          <w:p w14:paraId="5FCAB874" w14:textId="77777777" w:rsidR="002E196A" w:rsidRPr="008C1E72" w:rsidRDefault="002E196A" w:rsidP="0077552A">
            <w:pPr>
              <w:suppressAutoHyphens/>
              <w:jc w:val="center"/>
              <w:rPr>
                <w:rFonts w:cs="Calibri"/>
                <w:b/>
                <w:szCs w:val="22"/>
                <w:lang w:val="en-GB"/>
              </w:rPr>
            </w:pPr>
            <w:r w:rsidRPr="008C1E72">
              <w:rPr>
                <w:rFonts w:cs="Calibri"/>
                <w:b/>
                <w:szCs w:val="22"/>
                <w:lang w:val="en-GB"/>
              </w:rPr>
              <w:t>1.2</w:t>
            </w:r>
          </w:p>
        </w:tc>
        <w:tc>
          <w:tcPr>
            <w:tcW w:w="755" w:type="pct"/>
            <w:gridSpan w:val="3"/>
            <w:tcBorders>
              <w:bottom w:val="single" w:sz="4" w:space="0" w:color="auto"/>
            </w:tcBorders>
            <w:shd w:val="clear" w:color="auto" w:fill="auto"/>
            <w:vAlign w:val="center"/>
          </w:tcPr>
          <w:p w14:paraId="7F132C41" w14:textId="77777777" w:rsidR="002E196A" w:rsidRPr="008C1E72" w:rsidRDefault="002E196A" w:rsidP="0077552A">
            <w:pPr>
              <w:spacing w:after="0"/>
              <w:rPr>
                <w:rFonts w:cs="Calibri"/>
                <w:b/>
                <w:szCs w:val="22"/>
                <w:lang w:val="en-GB"/>
              </w:rPr>
            </w:pPr>
            <w:r w:rsidRPr="008C1E72">
              <w:rPr>
                <w:rFonts w:cs="Calibri"/>
                <w:b/>
                <w:szCs w:val="22"/>
                <w:lang w:val="en-GB"/>
              </w:rPr>
              <w:t>Information reported by charities to the ACNC is analysed and published annually</w:t>
            </w:r>
          </w:p>
        </w:tc>
        <w:tc>
          <w:tcPr>
            <w:tcW w:w="904" w:type="pct"/>
            <w:tcBorders>
              <w:bottom w:val="single" w:sz="4" w:space="0" w:color="auto"/>
            </w:tcBorders>
            <w:vAlign w:val="center"/>
          </w:tcPr>
          <w:p w14:paraId="1D95ABF5" w14:textId="77777777" w:rsidR="002A6BE4" w:rsidRPr="008C1E72" w:rsidRDefault="002A6BE4" w:rsidP="002A6BE4">
            <w:pPr>
              <w:spacing w:after="0"/>
              <w:rPr>
                <w:rFonts w:cs="Calibri"/>
                <w:b/>
                <w:color w:val="1F497D" w:themeColor="text2"/>
                <w:szCs w:val="22"/>
                <w:lang w:val="en-GB"/>
              </w:rPr>
            </w:pPr>
            <w:r w:rsidRPr="008C1E72">
              <w:rPr>
                <w:rFonts w:cs="Calibri"/>
                <w:b/>
                <w:color w:val="1F497D" w:themeColor="text2"/>
                <w:szCs w:val="22"/>
                <w:lang w:val="en-GB"/>
              </w:rPr>
              <w:t>Reports based on an analysis of information reported to the ACNC</w:t>
            </w:r>
          </w:p>
          <w:p w14:paraId="11F290AD" w14:textId="77777777" w:rsidR="002A6BE4" w:rsidRPr="008C1E72" w:rsidRDefault="002A6BE4" w:rsidP="002A6BE4">
            <w:pPr>
              <w:spacing w:after="0"/>
              <w:rPr>
                <w:rFonts w:cs="Calibri"/>
                <w:color w:val="1F497D" w:themeColor="text2"/>
                <w:szCs w:val="22"/>
                <w:lang w:val="en-GB"/>
              </w:rPr>
            </w:pPr>
          </w:p>
          <w:p w14:paraId="21A4F8F1" w14:textId="77777777" w:rsidR="002A6BE4" w:rsidRPr="008C1E72" w:rsidRDefault="002A6BE4" w:rsidP="002A6BE4">
            <w:pPr>
              <w:spacing w:after="0"/>
              <w:rPr>
                <w:rFonts w:cs="Calibri"/>
                <w:i/>
                <w:color w:val="1F497D" w:themeColor="text2"/>
                <w:szCs w:val="22"/>
                <w:lang w:val="en-GB"/>
              </w:rPr>
            </w:pPr>
            <w:r w:rsidRPr="008C1E72">
              <w:rPr>
                <w:rFonts w:cs="Calibri"/>
                <w:i/>
                <w:color w:val="1F497D" w:themeColor="text2"/>
                <w:szCs w:val="22"/>
                <w:lang w:val="en-GB"/>
              </w:rPr>
              <w:t xml:space="preserve">2016 Australian Charities Report </w:t>
            </w:r>
          </w:p>
          <w:p w14:paraId="50EF02F3" w14:textId="77777777" w:rsidR="002A6BE4" w:rsidRPr="008C1E72" w:rsidRDefault="002A6BE4" w:rsidP="002A6BE4">
            <w:pPr>
              <w:spacing w:after="0"/>
              <w:rPr>
                <w:rFonts w:cs="Calibri"/>
                <w:i/>
                <w:color w:val="1F497D" w:themeColor="text2"/>
                <w:szCs w:val="22"/>
                <w:lang w:val="en-GB"/>
              </w:rPr>
            </w:pPr>
          </w:p>
          <w:p w14:paraId="7C511677" w14:textId="77777777" w:rsidR="002A6BE4" w:rsidRPr="008C1E72" w:rsidRDefault="002A6BE4" w:rsidP="002A6BE4">
            <w:pPr>
              <w:spacing w:after="0"/>
              <w:rPr>
                <w:rFonts w:cs="Calibri"/>
                <w:i/>
                <w:color w:val="1F497D" w:themeColor="text2"/>
                <w:szCs w:val="22"/>
                <w:lang w:val="en-GB"/>
              </w:rPr>
            </w:pPr>
            <w:r w:rsidRPr="008C1E72">
              <w:rPr>
                <w:rFonts w:cs="Calibri"/>
                <w:i/>
                <w:color w:val="1F497D" w:themeColor="text2"/>
                <w:szCs w:val="22"/>
                <w:lang w:val="en-GB"/>
              </w:rPr>
              <w:t>Growth and change in Australia’s charities: 2014 to 2016</w:t>
            </w:r>
          </w:p>
          <w:p w14:paraId="4DD7CC8A" w14:textId="77777777" w:rsidR="002A6BE4" w:rsidRPr="008C1E72" w:rsidRDefault="002A6BE4" w:rsidP="002A6BE4">
            <w:pPr>
              <w:spacing w:after="0"/>
              <w:rPr>
                <w:rFonts w:cs="Calibri"/>
                <w:i/>
                <w:color w:val="1F497D" w:themeColor="text2"/>
                <w:szCs w:val="22"/>
                <w:lang w:val="en-GB"/>
              </w:rPr>
            </w:pPr>
          </w:p>
          <w:p w14:paraId="6ACEA6F7" w14:textId="77777777" w:rsidR="002A6BE4" w:rsidRPr="008C1E72" w:rsidRDefault="002A6BE4" w:rsidP="002A6BE4">
            <w:pPr>
              <w:spacing w:after="0"/>
              <w:rPr>
                <w:rFonts w:cs="Calibri"/>
                <w:b/>
                <w:color w:val="1F497D" w:themeColor="text2"/>
                <w:szCs w:val="22"/>
                <w:lang w:val="en-GB"/>
              </w:rPr>
            </w:pPr>
            <w:r w:rsidRPr="008C1E72">
              <w:rPr>
                <w:rFonts w:cs="Calibri"/>
                <w:i/>
                <w:color w:val="1F497D" w:themeColor="text2"/>
                <w:szCs w:val="22"/>
                <w:lang w:val="en-GB"/>
              </w:rPr>
              <w:t>Australia’s Grant-making Charities</w:t>
            </w:r>
            <w:r w:rsidRPr="008C1E72">
              <w:rPr>
                <w:rFonts w:cs="Calibri"/>
                <w:b/>
                <w:color w:val="1F497D" w:themeColor="text2"/>
                <w:szCs w:val="22"/>
                <w:lang w:val="en-GB"/>
              </w:rPr>
              <w:t xml:space="preserve"> </w:t>
            </w:r>
          </w:p>
          <w:p w14:paraId="14E853F5" w14:textId="77777777" w:rsidR="009E6DE6" w:rsidRPr="008C1E72" w:rsidRDefault="009E6DE6" w:rsidP="002A6BE4">
            <w:pPr>
              <w:spacing w:after="0"/>
              <w:rPr>
                <w:rFonts w:cs="Calibri"/>
                <w:b/>
                <w:color w:val="1F497D" w:themeColor="text2"/>
                <w:szCs w:val="22"/>
                <w:lang w:val="en-GB"/>
              </w:rPr>
            </w:pPr>
          </w:p>
          <w:p w14:paraId="2FE9AC28" w14:textId="271803C6" w:rsidR="009E6DE6" w:rsidRPr="008C1E72" w:rsidRDefault="009E6DE6" w:rsidP="002A6BE4">
            <w:pPr>
              <w:spacing w:after="0"/>
              <w:rPr>
                <w:rFonts w:cs="Calibri"/>
                <w:b/>
                <w:color w:val="1F497D" w:themeColor="text2"/>
                <w:szCs w:val="22"/>
                <w:lang w:val="en-GB"/>
              </w:rPr>
            </w:pPr>
            <w:r w:rsidRPr="008C1E72">
              <w:rPr>
                <w:rFonts w:cs="Calibri"/>
                <w:i/>
                <w:color w:val="1F497D" w:themeColor="text2"/>
                <w:szCs w:val="22"/>
                <w:lang w:val="en-GB"/>
              </w:rPr>
              <w:t>Australia’s Non</w:t>
            </w:r>
            <w:r w:rsidR="00F61D5A">
              <w:rPr>
                <w:rFonts w:cs="Calibri"/>
                <w:i/>
                <w:color w:val="1F497D" w:themeColor="text2"/>
                <w:szCs w:val="22"/>
                <w:lang w:val="en-GB"/>
              </w:rPr>
              <w:t>-</w:t>
            </w:r>
            <w:r w:rsidRPr="008C1E72">
              <w:rPr>
                <w:rFonts w:cs="Calibri"/>
                <w:i/>
                <w:color w:val="1F497D" w:themeColor="text2"/>
                <w:szCs w:val="22"/>
                <w:lang w:val="en-GB"/>
              </w:rPr>
              <w:t>profit Organisation Sector: Money laundering and terrorism financing risk assessment</w:t>
            </w:r>
          </w:p>
          <w:p w14:paraId="327E3F51" w14:textId="77777777" w:rsidR="002A6BE4" w:rsidRPr="008C1E72" w:rsidRDefault="002A6BE4" w:rsidP="002A6BE4">
            <w:pPr>
              <w:spacing w:after="0"/>
              <w:rPr>
                <w:rFonts w:cs="Calibri"/>
                <w:b/>
                <w:color w:val="1F497D" w:themeColor="text2"/>
                <w:szCs w:val="22"/>
                <w:lang w:val="en-GB"/>
              </w:rPr>
            </w:pPr>
          </w:p>
          <w:p w14:paraId="304FD687" w14:textId="77777777" w:rsidR="002A6BE4" w:rsidRPr="008C1E72" w:rsidRDefault="002A6BE4" w:rsidP="002A6BE4">
            <w:pPr>
              <w:spacing w:after="0"/>
              <w:rPr>
                <w:rFonts w:cs="Calibri"/>
                <w:b/>
                <w:color w:val="1F497D" w:themeColor="text2"/>
                <w:szCs w:val="22"/>
                <w:lang w:val="en-GB"/>
              </w:rPr>
            </w:pPr>
            <w:r w:rsidRPr="008C1E72">
              <w:rPr>
                <w:rFonts w:cs="Calibri"/>
                <w:b/>
                <w:color w:val="1F497D" w:themeColor="text2"/>
                <w:szCs w:val="22"/>
                <w:lang w:val="en-GB"/>
              </w:rPr>
              <w:t>Publication of data</w:t>
            </w:r>
          </w:p>
          <w:p w14:paraId="01E5B331" w14:textId="77777777" w:rsidR="002A6BE4" w:rsidRPr="008C1E72" w:rsidRDefault="002A6BE4" w:rsidP="0077552A">
            <w:pPr>
              <w:spacing w:after="0"/>
              <w:rPr>
                <w:rFonts w:cs="Calibri"/>
                <w:color w:val="1F497D" w:themeColor="text2"/>
                <w:szCs w:val="22"/>
                <w:lang w:val="en-GB"/>
              </w:rPr>
            </w:pPr>
          </w:p>
          <w:p w14:paraId="6418107A" w14:textId="77777777" w:rsidR="002E196A" w:rsidRPr="008C1E72" w:rsidRDefault="002A6BE4" w:rsidP="0077552A">
            <w:pPr>
              <w:spacing w:after="0"/>
              <w:rPr>
                <w:rFonts w:cs="Calibri"/>
                <w:color w:val="1F497D" w:themeColor="text2"/>
                <w:szCs w:val="22"/>
                <w:lang w:val="en-GB"/>
              </w:rPr>
            </w:pPr>
            <w:r w:rsidRPr="008C1E72">
              <w:rPr>
                <w:rFonts w:cs="Calibri"/>
                <w:color w:val="1F497D" w:themeColor="text2"/>
                <w:szCs w:val="22"/>
                <w:lang w:val="en-GB"/>
              </w:rPr>
              <w:t>ACNC datasets published on data.gov.au</w:t>
            </w:r>
          </w:p>
          <w:p w14:paraId="0A3D0293" w14:textId="77777777" w:rsidR="002A6BE4" w:rsidRPr="008C1E72" w:rsidRDefault="002A6BE4" w:rsidP="0077552A">
            <w:pPr>
              <w:spacing w:after="0"/>
              <w:rPr>
                <w:rFonts w:cs="Calibri"/>
                <w:color w:val="1F497D" w:themeColor="text2"/>
                <w:szCs w:val="22"/>
                <w:lang w:val="en-GB"/>
              </w:rPr>
            </w:pPr>
          </w:p>
          <w:p w14:paraId="61987B3F" w14:textId="77777777" w:rsidR="002A6BE4" w:rsidRPr="008C1E72" w:rsidRDefault="002A6BE4" w:rsidP="002A6BE4">
            <w:pPr>
              <w:spacing w:after="0"/>
              <w:rPr>
                <w:rFonts w:cs="Calibri"/>
                <w:szCs w:val="22"/>
                <w:highlight w:val="yellow"/>
                <w:lang w:val="en-GB"/>
              </w:rPr>
            </w:pPr>
          </w:p>
        </w:tc>
        <w:tc>
          <w:tcPr>
            <w:tcW w:w="235" w:type="pct"/>
            <w:tcBorders>
              <w:bottom w:val="single" w:sz="4" w:space="0" w:color="auto"/>
            </w:tcBorders>
          </w:tcPr>
          <w:p w14:paraId="31BD026B" w14:textId="77777777" w:rsidR="002E196A" w:rsidRPr="008C1E72" w:rsidRDefault="002E196A" w:rsidP="0077552A">
            <w:pPr>
              <w:spacing w:after="0"/>
              <w:jc w:val="center"/>
              <w:rPr>
                <w:rFonts w:cs="Calibri"/>
                <w:noProof/>
                <w:color w:val="1F497D" w:themeColor="text2"/>
                <w:szCs w:val="22"/>
                <w:highlight w:val="yellow"/>
                <w:lang w:eastAsia="en-AU"/>
              </w:rPr>
            </w:pPr>
          </w:p>
          <w:p w14:paraId="3B12973E" w14:textId="77777777" w:rsidR="00E31886" w:rsidRPr="008C1E72" w:rsidRDefault="00E31886" w:rsidP="0077552A">
            <w:pPr>
              <w:spacing w:after="0"/>
              <w:jc w:val="center"/>
              <w:rPr>
                <w:rFonts w:cs="Calibri"/>
                <w:noProof/>
                <w:color w:val="1F497D" w:themeColor="text2"/>
                <w:szCs w:val="22"/>
                <w:lang w:eastAsia="en-AU"/>
              </w:rPr>
            </w:pPr>
          </w:p>
          <w:p w14:paraId="5340ED3B" w14:textId="77777777" w:rsidR="00E31886" w:rsidRPr="008C1E72" w:rsidRDefault="00E31886" w:rsidP="0077552A">
            <w:pPr>
              <w:spacing w:after="0"/>
              <w:jc w:val="center"/>
              <w:rPr>
                <w:rFonts w:cs="Calibri"/>
                <w:noProof/>
                <w:color w:val="1F497D" w:themeColor="text2"/>
                <w:szCs w:val="22"/>
                <w:lang w:eastAsia="en-AU"/>
              </w:rPr>
            </w:pPr>
          </w:p>
          <w:p w14:paraId="7CD9C3C0" w14:textId="77777777" w:rsidR="00E31886" w:rsidRPr="008C1E72" w:rsidRDefault="00E31886" w:rsidP="0077552A">
            <w:pPr>
              <w:spacing w:after="0"/>
              <w:jc w:val="center"/>
              <w:rPr>
                <w:rFonts w:cs="Calibri"/>
                <w:noProof/>
                <w:color w:val="1F497D" w:themeColor="text2"/>
                <w:szCs w:val="22"/>
                <w:lang w:eastAsia="en-AU"/>
              </w:rPr>
            </w:pPr>
          </w:p>
          <w:p w14:paraId="49379C5A" w14:textId="77777777" w:rsidR="00E31886" w:rsidRPr="008C1E72" w:rsidRDefault="00E31886" w:rsidP="0077552A">
            <w:pPr>
              <w:spacing w:after="0"/>
              <w:jc w:val="center"/>
              <w:rPr>
                <w:rFonts w:cs="Calibri"/>
                <w:noProof/>
                <w:color w:val="1F497D" w:themeColor="text2"/>
                <w:szCs w:val="22"/>
                <w:lang w:eastAsia="en-AU"/>
              </w:rPr>
            </w:pPr>
          </w:p>
          <w:p w14:paraId="75760F6B" w14:textId="77777777" w:rsidR="00E31886" w:rsidRPr="008C1E72" w:rsidRDefault="00E31886" w:rsidP="0077552A">
            <w:pPr>
              <w:spacing w:after="0"/>
              <w:jc w:val="center"/>
              <w:rPr>
                <w:rFonts w:cs="Calibri"/>
                <w:noProof/>
                <w:color w:val="1F497D" w:themeColor="text2"/>
                <w:szCs w:val="22"/>
                <w:lang w:eastAsia="en-AU"/>
              </w:rPr>
            </w:pPr>
          </w:p>
          <w:p w14:paraId="4D3A7D32" w14:textId="77777777" w:rsidR="00E31886" w:rsidRPr="008C1E72" w:rsidRDefault="00E31886" w:rsidP="0077552A">
            <w:pPr>
              <w:spacing w:after="0"/>
              <w:jc w:val="center"/>
              <w:rPr>
                <w:rFonts w:cs="Calibri"/>
                <w:noProof/>
                <w:color w:val="1F497D" w:themeColor="text2"/>
                <w:szCs w:val="22"/>
                <w:lang w:eastAsia="en-AU"/>
              </w:rPr>
            </w:pPr>
          </w:p>
          <w:p w14:paraId="57E1D4C8" w14:textId="77777777" w:rsidR="00E31886" w:rsidRPr="008C1E72" w:rsidRDefault="00E31886" w:rsidP="0077552A">
            <w:pPr>
              <w:spacing w:after="0"/>
              <w:jc w:val="center"/>
              <w:rPr>
                <w:rFonts w:cs="Calibri"/>
                <w:noProof/>
                <w:color w:val="1F497D" w:themeColor="text2"/>
                <w:szCs w:val="22"/>
                <w:lang w:eastAsia="en-AU"/>
              </w:rPr>
            </w:pPr>
          </w:p>
          <w:p w14:paraId="0DACF2E6" w14:textId="77777777" w:rsidR="00E31886" w:rsidRPr="008C1E72" w:rsidRDefault="00E31886" w:rsidP="0077552A">
            <w:pPr>
              <w:spacing w:after="0"/>
              <w:jc w:val="center"/>
              <w:rPr>
                <w:rFonts w:cs="Calibri"/>
                <w:noProof/>
                <w:color w:val="1F497D" w:themeColor="text2"/>
                <w:szCs w:val="22"/>
                <w:lang w:eastAsia="en-AU"/>
              </w:rPr>
            </w:pPr>
          </w:p>
          <w:p w14:paraId="3EEF06CB" w14:textId="77777777" w:rsidR="00E31886" w:rsidRPr="008C1E72" w:rsidRDefault="00E31886" w:rsidP="0077552A">
            <w:pPr>
              <w:spacing w:after="0"/>
              <w:jc w:val="center"/>
              <w:rPr>
                <w:rFonts w:cs="Calibri"/>
                <w:noProof/>
                <w:color w:val="1F497D" w:themeColor="text2"/>
                <w:szCs w:val="22"/>
                <w:lang w:eastAsia="en-AU"/>
              </w:rPr>
            </w:pPr>
          </w:p>
          <w:p w14:paraId="72E47E26" w14:textId="77777777" w:rsidR="00E31886" w:rsidRPr="008C1E72" w:rsidRDefault="00E31886" w:rsidP="0077552A">
            <w:pPr>
              <w:spacing w:after="0"/>
              <w:jc w:val="center"/>
              <w:rPr>
                <w:rFonts w:cs="Calibri"/>
                <w:noProof/>
                <w:color w:val="1F497D" w:themeColor="text2"/>
                <w:szCs w:val="22"/>
                <w:lang w:eastAsia="en-AU"/>
              </w:rPr>
            </w:pPr>
          </w:p>
          <w:p w14:paraId="42C860EE" w14:textId="77777777" w:rsidR="00E31886" w:rsidRPr="008C1E72" w:rsidRDefault="00E31886" w:rsidP="0077552A">
            <w:pPr>
              <w:spacing w:after="0"/>
              <w:jc w:val="center"/>
              <w:rPr>
                <w:rFonts w:cs="Calibri"/>
                <w:noProof/>
                <w:color w:val="1F497D" w:themeColor="text2"/>
                <w:szCs w:val="22"/>
                <w:lang w:eastAsia="en-AU"/>
              </w:rPr>
            </w:pPr>
          </w:p>
          <w:p w14:paraId="1C3B5E4F" w14:textId="77777777" w:rsidR="00E31886" w:rsidRPr="008C1E72" w:rsidRDefault="00E31886" w:rsidP="0077552A">
            <w:pPr>
              <w:spacing w:after="0"/>
              <w:jc w:val="center"/>
              <w:rPr>
                <w:rFonts w:cs="Calibri"/>
                <w:noProof/>
                <w:color w:val="1F497D" w:themeColor="text2"/>
                <w:szCs w:val="22"/>
                <w:lang w:eastAsia="en-AU"/>
              </w:rPr>
            </w:pPr>
          </w:p>
          <w:p w14:paraId="2C9DB9FE" w14:textId="77777777" w:rsidR="002E196A" w:rsidRPr="008C1E72" w:rsidRDefault="002E196A" w:rsidP="00E31886">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62E05D7D" wp14:editId="546F66A4">
                  <wp:extent cx="201295" cy="21336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tcBorders>
              <w:bottom w:val="single" w:sz="4" w:space="0" w:color="auto"/>
            </w:tcBorders>
            <w:vAlign w:val="center"/>
          </w:tcPr>
          <w:p w14:paraId="39F50F14" w14:textId="77777777" w:rsidR="002A6BE4" w:rsidRPr="008C1E72" w:rsidRDefault="002A6BE4" w:rsidP="008963E0">
            <w:pPr>
              <w:pStyle w:val="BodyText2"/>
              <w:spacing w:before="120" w:after="120"/>
              <w:rPr>
                <w:rFonts w:cs="Calibri"/>
                <w:b/>
                <w:color w:val="1F497D" w:themeColor="text2"/>
              </w:rPr>
            </w:pPr>
            <w:r w:rsidRPr="008C1E72">
              <w:rPr>
                <w:rFonts w:cs="Calibri"/>
                <w:b/>
                <w:color w:val="1F497D" w:themeColor="text2"/>
              </w:rPr>
              <w:t>Reports based on an analysis of information reported to the ACNC</w:t>
            </w:r>
          </w:p>
          <w:p w14:paraId="095048E3" w14:textId="77777777" w:rsidR="002A6BE4" w:rsidRPr="008C1E72" w:rsidRDefault="002E196A" w:rsidP="002A6BE4">
            <w:pPr>
              <w:spacing w:before="120"/>
              <w:rPr>
                <w:rFonts w:cs="Calibri"/>
                <w:color w:val="1F497D" w:themeColor="text2"/>
                <w:szCs w:val="22"/>
                <w:lang w:val="en-GB"/>
              </w:rPr>
            </w:pPr>
            <w:r w:rsidRPr="008C1E72">
              <w:rPr>
                <w:rFonts w:cs="Calibri"/>
                <w:color w:val="1F497D" w:themeColor="text2"/>
                <w:szCs w:val="22"/>
                <w:lang w:val="en-GB"/>
              </w:rPr>
              <w:t xml:space="preserve">Prior to the establishment of the ACNC, researchers and commentators interested in the not-for-profit sector noted the ‘data-deficit’ in relation to the economic circumstances of charities. </w:t>
            </w:r>
          </w:p>
          <w:p w14:paraId="6808DF0A" w14:textId="3F2E0E70" w:rsidR="002A6BE4" w:rsidRPr="008C1E72" w:rsidRDefault="002E196A" w:rsidP="002A6BE4">
            <w:pPr>
              <w:spacing w:after="0"/>
              <w:rPr>
                <w:rFonts w:cs="Calibri"/>
                <w:color w:val="1F497D" w:themeColor="text2"/>
                <w:szCs w:val="22"/>
                <w:lang w:val="en-GB"/>
              </w:rPr>
            </w:pPr>
            <w:r w:rsidRPr="008C1E72">
              <w:rPr>
                <w:rFonts w:cs="Calibri"/>
                <w:color w:val="1F497D" w:themeColor="text2"/>
                <w:szCs w:val="22"/>
                <w:lang w:val="en-GB"/>
              </w:rPr>
              <w:t xml:space="preserve">In </w:t>
            </w:r>
            <w:r w:rsidR="004B4A9F" w:rsidRPr="008C1E72">
              <w:rPr>
                <w:rFonts w:cs="Calibri"/>
                <w:color w:val="1F497D" w:themeColor="text2"/>
                <w:szCs w:val="22"/>
                <w:lang w:val="en-GB"/>
              </w:rPr>
              <w:t>201</w:t>
            </w:r>
            <w:r w:rsidR="004B4A9F">
              <w:rPr>
                <w:rFonts w:cs="Calibri"/>
                <w:color w:val="1F497D" w:themeColor="text2"/>
                <w:szCs w:val="22"/>
                <w:lang w:val="en-GB"/>
              </w:rPr>
              <w:t>7-18</w:t>
            </w:r>
            <w:r w:rsidRPr="008C1E72">
              <w:rPr>
                <w:rFonts w:cs="Calibri"/>
                <w:color w:val="1F497D" w:themeColor="text2"/>
                <w:szCs w:val="22"/>
                <w:lang w:val="en-GB"/>
              </w:rPr>
              <w:t>, the ACNC continue</w:t>
            </w:r>
            <w:r w:rsidR="002A6BE4" w:rsidRPr="008C1E72">
              <w:rPr>
                <w:rFonts w:cs="Calibri"/>
                <w:color w:val="1F497D" w:themeColor="text2"/>
                <w:szCs w:val="22"/>
                <w:lang w:val="en-GB"/>
              </w:rPr>
              <w:t xml:space="preserve">d filling this gap with the </w:t>
            </w:r>
            <w:r w:rsidR="002A6BE4" w:rsidRPr="008C1E72">
              <w:rPr>
                <w:rFonts w:cs="Calibri"/>
                <w:i/>
                <w:color w:val="1F497D" w:themeColor="text2"/>
                <w:szCs w:val="22"/>
                <w:lang w:val="en-GB"/>
              </w:rPr>
              <w:t>2016</w:t>
            </w:r>
            <w:r w:rsidRPr="008C1E72">
              <w:rPr>
                <w:rFonts w:cs="Calibri"/>
                <w:i/>
                <w:color w:val="1F497D" w:themeColor="text2"/>
                <w:szCs w:val="22"/>
                <w:lang w:val="en-GB"/>
              </w:rPr>
              <w:t xml:space="preserve"> Australian Charities R</w:t>
            </w:r>
            <w:r w:rsidR="002A6BE4" w:rsidRPr="008C1E72">
              <w:rPr>
                <w:rFonts w:cs="Calibri"/>
                <w:i/>
                <w:color w:val="1F497D" w:themeColor="text2"/>
                <w:szCs w:val="22"/>
                <w:lang w:val="en-GB"/>
              </w:rPr>
              <w:t>eport</w:t>
            </w:r>
            <w:r w:rsidR="002A6BE4" w:rsidRPr="008C1E72">
              <w:rPr>
                <w:rFonts w:cs="Calibri"/>
                <w:color w:val="1F497D" w:themeColor="text2"/>
                <w:szCs w:val="22"/>
                <w:lang w:val="en-GB"/>
              </w:rPr>
              <w:t xml:space="preserve">, </w:t>
            </w:r>
            <w:r w:rsidR="002A6BE4" w:rsidRPr="008C1E72">
              <w:rPr>
                <w:rFonts w:cs="Calibri"/>
                <w:i/>
                <w:color w:val="1F497D" w:themeColor="text2"/>
                <w:szCs w:val="22"/>
                <w:lang w:val="en-GB"/>
              </w:rPr>
              <w:t>Growth and change in Australia’s charities: 2014 to 2016</w:t>
            </w:r>
            <w:r w:rsidR="002A6BE4" w:rsidRPr="008C1E72">
              <w:rPr>
                <w:rFonts w:cs="Calibri"/>
                <w:color w:val="1F497D" w:themeColor="text2"/>
                <w:szCs w:val="22"/>
                <w:lang w:val="en-GB"/>
              </w:rPr>
              <w:t xml:space="preserve"> and </w:t>
            </w:r>
            <w:r w:rsidR="002A6BE4" w:rsidRPr="008C1E72">
              <w:rPr>
                <w:rFonts w:cs="Calibri"/>
                <w:i/>
                <w:color w:val="1F497D" w:themeColor="text2"/>
                <w:szCs w:val="22"/>
                <w:lang w:val="en-GB"/>
              </w:rPr>
              <w:t>Australia’s Grant-making Charities</w:t>
            </w:r>
            <w:r w:rsidR="002A6BE4" w:rsidRPr="008C1E72">
              <w:rPr>
                <w:rFonts w:cs="Calibri"/>
                <w:color w:val="1F497D" w:themeColor="text2"/>
                <w:szCs w:val="22"/>
                <w:lang w:val="en-GB"/>
              </w:rPr>
              <w:t>.</w:t>
            </w:r>
          </w:p>
          <w:p w14:paraId="376173C6" w14:textId="3D7EF64C" w:rsidR="002E196A" w:rsidRPr="008C1E72" w:rsidRDefault="002E196A" w:rsidP="0077552A">
            <w:pPr>
              <w:spacing w:before="120" w:after="0"/>
              <w:rPr>
                <w:rFonts w:cs="Calibri"/>
                <w:color w:val="1F497D" w:themeColor="text2"/>
                <w:szCs w:val="22"/>
                <w:lang w:val="en-GB"/>
              </w:rPr>
            </w:pPr>
            <w:r w:rsidRPr="008C1E72">
              <w:rPr>
                <w:rFonts w:cs="Calibri"/>
                <w:color w:val="1F497D" w:themeColor="text2"/>
                <w:szCs w:val="22"/>
                <w:lang w:val="en-GB"/>
              </w:rPr>
              <w:t>To increase ac</w:t>
            </w:r>
            <w:r w:rsidR="002A6BE4" w:rsidRPr="008C1E72">
              <w:rPr>
                <w:rFonts w:cs="Calibri"/>
                <w:color w:val="1F497D" w:themeColor="text2"/>
                <w:szCs w:val="22"/>
                <w:lang w:val="en-GB"/>
              </w:rPr>
              <w:t xml:space="preserve">cessibility and usability, the </w:t>
            </w:r>
            <w:r w:rsidRPr="008C1E72">
              <w:rPr>
                <w:rFonts w:cs="Calibri"/>
                <w:color w:val="1F497D" w:themeColor="text2"/>
                <w:szCs w:val="22"/>
                <w:lang w:val="en-GB"/>
              </w:rPr>
              <w:t>dataset from the 201</w:t>
            </w:r>
            <w:r w:rsidR="00310B5D" w:rsidRPr="008C1E72">
              <w:rPr>
                <w:rFonts w:cs="Calibri"/>
                <w:color w:val="1F497D" w:themeColor="text2"/>
                <w:szCs w:val="22"/>
                <w:lang w:val="en-GB"/>
              </w:rPr>
              <w:t>6</w:t>
            </w:r>
            <w:r w:rsidRPr="008C1E72">
              <w:rPr>
                <w:rFonts w:cs="Calibri"/>
                <w:color w:val="1F497D" w:themeColor="text2"/>
                <w:szCs w:val="22"/>
                <w:lang w:val="en-GB"/>
              </w:rPr>
              <w:t xml:space="preserve"> Australian Charities Report is available to the public on an interactive website</w:t>
            </w:r>
            <w:r w:rsidR="002A6BE4" w:rsidRPr="008C1E72">
              <w:rPr>
                <w:rFonts w:cs="Calibri"/>
                <w:color w:val="1F497D" w:themeColor="text2"/>
                <w:szCs w:val="22"/>
                <w:lang w:val="en-GB"/>
              </w:rPr>
              <w:t xml:space="preserve"> which allows the public </w:t>
            </w:r>
            <w:r w:rsidRPr="008C1E72">
              <w:rPr>
                <w:rFonts w:cs="Calibri"/>
                <w:color w:val="1F497D" w:themeColor="text2"/>
                <w:szCs w:val="22"/>
                <w:lang w:val="en-GB"/>
              </w:rPr>
              <w:t xml:space="preserve">to look at the sector from </w:t>
            </w:r>
            <w:r w:rsidR="002A6BE4" w:rsidRPr="008C1E72">
              <w:rPr>
                <w:rFonts w:cs="Calibri"/>
                <w:color w:val="1F497D" w:themeColor="text2"/>
                <w:szCs w:val="22"/>
                <w:lang w:val="en-GB"/>
              </w:rPr>
              <w:t>different</w:t>
            </w:r>
            <w:r w:rsidRPr="008C1E72">
              <w:rPr>
                <w:rFonts w:cs="Calibri"/>
                <w:color w:val="1F497D" w:themeColor="text2"/>
                <w:szCs w:val="22"/>
                <w:lang w:val="en-GB"/>
              </w:rPr>
              <w:t xml:space="preserve"> angles.</w:t>
            </w:r>
          </w:p>
          <w:p w14:paraId="30A35769" w14:textId="77777777" w:rsidR="00743E73" w:rsidRPr="008C1E72" w:rsidRDefault="002E196A" w:rsidP="00E31886">
            <w:pPr>
              <w:spacing w:before="120"/>
              <w:rPr>
                <w:rFonts w:cs="Calibri"/>
                <w:color w:val="1F497D" w:themeColor="text2"/>
                <w:szCs w:val="22"/>
                <w:lang w:val="en-GB"/>
              </w:rPr>
            </w:pPr>
            <w:r w:rsidRPr="008C1E72">
              <w:rPr>
                <w:rFonts w:cs="Calibri"/>
                <w:color w:val="1F497D" w:themeColor="text2"/>
                <w:szCs w:val="22"/>
                <w:lang w:val="en-GB"/>
              </w:rPr>
              <w:t>All reports</w:t>
            </w:r>
            <w:r w:rsidR="004B4A9F">
              <w:rPr>
                <w:rFonts w:cs="Calibri"/>
                <w:color w:val="1F497D" w:themeColor="text2"/>
                <w:szCs w:val="22"/>
                <w:lang w:val="en-GB"/>
              </w:rPr>
              <w:t xml:space="preserve"> and resources</w:t>
            </w:r>
            <w:r w:rsidRPr="008C1E72">
              <w:rPr>
                <w:rFonts w:cs="Calibri"/>
                <w:color w:val="1F497D" w:themeColor="text2"/>
                <w:szCs w:val="22"/>
                <w:lang w:val="en-GB"/>
              </w:rPr>
              <w:t xml:space="preserve"> are made available to the public at </w:t>
            </w:r>
            <w:hyperlink r:id="rId51" w:history="1">
              <w:r w:rsidRPr="008C1E72">
                <w:rPr>
                  <w:rStyle w:val="Hyperlink"/>
                  <w:rFonts w:cs="Calibri"/>
                  <w:szCs w:val="22"/>
                  <w:lang w:val="en-GB"/>
                </w:rPr>
                <w:t>australiancharities.acnc.gov.au</w:t>
              </w:r>
              <w:r w:rsidRPr="008C1E72">
                <w:rPr>
                  <w:rStyle w:val="Hyperlink"/>
                  <w:rFonts w:cs="Calibri"/>
                  <w:color w:val="1F497D" w:themeColor="text2"/>
                  <w:szCs w:val="22"/>
                  <w:u w:val="none"/>
                  <w:lang w:val="en-GB"/>
                </w:rPr>
                <w:t>.</w:t>
              </w:r>
            </w:hyperlink>
          </w:p>
          <w:p w14:paraId="055D20E1" w14:textId="77777777" w:rsidR="00FA49A2" w:rsidRPr="008C1E72" w:rsidRDefault="00FA49A2" w:rsidP="00FA49A2">
            <w:pPr>
              <w:spacing w:before="120"/>
              <w:rPr>
                <w:rFonts w:cs="Calibri"/>
                <w:color w:val="1F497D" w:themeColor="text2"/>
                <w:szCs w:val="22"/>
                <w:lang w:val="en-GB"/>
              </w:rPr>
            </w:pPr>
            <w:r w:rsidRPr="008C1E72">
              <w:rPr>
                <w:rFonts w:cs="Calibri"/>
                <w:color w:val="1F497D" w:themeColor="text2"/>
                <w:szCs w:val="22"/>
                <w:lang w:val="en-GB"/>
              </w:rPr>
              <w:t xml:space="preserve">In August 2017, the ACNC and AUSTRAC released a National Risk Assessment of Australia’s Not-for-profit sector.  The report - </w:t>
            </w:r>
            <w:r w:rsidRPr="008C1E72">
              <w:rPr>
                <w:rFonts w:cs="Calibri"/>
                <w:i/>
                <w:color w:val="1F497D" w:themeColor="text2"/>
                <w:szCs w:val="22"/>
                <w:lang w:val="en-GB"/>
              </w:rPr>
              <w:t>Australia’s Non</w:t>
            </w:r>
            <w:r w:rsidR="004B4A9F">
              <w:rPr>
                <w:rFonts w:cs="Calibri"/>
                <w:i/>
                <w:color w:val="1F497D" w:themeColor="text2"/>
                <w:szCs w:val="22"/>
                <w:lang w:val="en-GB"/>
              </w:rPr>
              <w:t>-</w:t>
            </w:r>
            <w:r w:rsidRPr="008C1E72">
              <w:rPr>
                <w:rFonts w:cs="Calibri"/>
                <w:i/>
                <w:color w:val="1F497D" w:themeColor="text2"/>
                <w:szCs w:val="22"/>
                <w:lang w:val="en-GB"/>
              </w:rPr>
              <w:t>profit Organisation Sector: Money laundering and terrorism financing risk assessment</w:t>
            </w:r>
            <w:r w:rsidRPr="008C1E72">
              <w:rPr>
                <w:rFonts w:cs="Calibri"/>
                <w:color w:val="1F497D" w:themeColor="text2"/>
                <w:szCs w:val="22"/>
                <w:lang w:val="en-GB"/>
              </w:rPr>
              <w:t xml:space="preserve">, examined approximately 257,000 not-for-profit organisations (NPOs) operating in Australia. The report identified the main criminal, money laundering and terrorism financing threats facing Australia’s NPO sector. It also highlighted key vulnerabilities that are exploited for criminal misuse, or to support or promote terrorism and its financing. The report is available at </w:t>
            </w:r>
            <w:hyperlink r:id="rId52" w:history="1">
              <w:r w:rsidRPr="008C1E72">
                <w:rPr>
                  <w:rStyle w:val="Hyperlink"/>
                  <w:rFonts w:cs="Calibri"/>
                  <w:szCs w:val="22"/>
                  <w:lang w:val="en-GB"/>
                </w:rPr>
                <w:t>acnc.gov.au/nfprisk</w:t>
              </w:r>
            </w:hyperlink>
            <w:r w:rsidRPr="008C1E72">
              <w:rPr>
                <w:rFonts w:cs="Calibri"/>
                <w:color w:val="1F497D" w:themeColor="text2"/>
                <w:szCs w:val="22"/>
                <w:lang w:val="en-GB"/>
              </w:rPr>
              <w:t xml:space="preserve">. </w:t>
            </w:r>
          </w:p>
          <w:p w14:paraId="60C30106" w14:textId="77777777" w:rsidR="002E196A" w:rsidRPr="008C1E72" w:rsidRDefault="00743E73" w:rsidP="008963E0">
            <w:pPr>
              <w:pStyle w:val="BodyText2"/>
              <w:spacing w:before="120" w:after="120"/>
              <w:rPr>
                <w:rFonts w:cs="Calibri"/>
                <w:b/>
                <w:color w:val="1F497D" w:themeColor="text2"/>
              </w:rPr>
            </w:pPr>
            <w:r w:rsidRPr="008C1E72">
              <w:rPr>
                <w:rFonts w:cs="Calibri"/>
                <w:b/>
                <w:color w:val="1F497D" w:themeColor="text2"/>
              </w:rPr>
              <w:t>Publication of data</w:t>
            </w:r>
          </w:p>
          <w:p w14:paraId="340B203E" w14:textId="77777777" w:rsidR="00743E73" w:rsidRPr="008C1E72" w:rsidRDefault="002E196A" w:rsidP="00E31886">
            <w:pPr>
              <w:spacing w:before="120"/>
              <w:rPr>
                <w:rFonts w:cs="Calibri"/>
                <w:color w:val="1F497D" w:themeColor="text2"/>
                <w:szCs w:val="22"/>
                <w:lang w:val="en-GB"/>
              </w:rPr>
            </w:pPr>
            <w:r w:rsidRPr="008C1E72">
              <w:rPr>
                <w:rFonts w:cs="Calibri"/>
                <w:color w:val="1F497D" w:themeColor="text2"/>
                <w:szCs w:val="22"/>
                <w:lang w:val="en-GB"/>
              </w:rPr>
              <w:t xml:space="preserve">In addition to the annual charities report, the ACNC makes the data we collect about charities freely and easily available. </w:t>
            </w:r>
          </w:p>
          <w:p w14:paraId="29E0B4EE" w14:textId="77777777" w:rsidR="00743E73" w:rsidRPr="008C1E72" w:rsidRDefault="002E196A" w:rsidP="00E31886">
            <w:pPr>
              <w:spacing w:before="120"/>
              <w:rPr>
                <w:rFonts w:cs="Calibri"/>
                <w:color w:val="1F497D" w:themeColor="text2"/>
                <w:szCs w:val="22"/>
                <w:lang w:val="en-GB"/>
              </w:rPr>
            </w:pPr>
            <w:r w:rsidRPr="008C1E72">
              <w:rPr>
                <w:rFonts w:cs="Calibri"/>
                <w:color w:val="1F497D" w:themeColor="text2"/>
                <w:szCs w:val="22"/>
                <w:lang w:val="en-GB"/>
              </w:rPr>
              <w:t xml:space="preserve">An important part of us meeting this commitment is publishing datasets of charity information on </w:t>
            </w:r>
            <w:hyperlink r:id="rId53" w:history="1">
              <w:r w:rsidRPr="008C1E72">
                <w:rPr>
                  <w:rStyle w:val="Hyperlink"/>
                  <w:rFonts w:cs="Calibri"/>
                  <w:szCs w:val="22"/>
                  <w:lang w:val="en-GB"/>
                </w:rPr>
                <w:t>data.gov.au</w:t>
              </w:r>
            </w:hyperlink>
            <w:r w:rsidRPr="008C1E72">
              <w:rPr>
                <w:rFonts w:cs="Calibri"/>
                <w:color w:val="1F497D" w:themeColor="text2"/>
                <w:szCs w:val="22"/>
                <w:lang w:val="en-GB"/>
              </w:rPr>
              <w:t xml:space="preserve"> – which is the Government’s official repository for open data. </w:t>
            </w:r>
          </w:p>
          <w:p w14:paraId="2C89D01A" w14:textId="77777777" w:rsidR="002E196A" w:rsidRPr="008C1E72" w:rsidRDefault="002E196A" w:rsidP="00E31886">
            <w:pPr>
              <w:spacing w:before="120"/>
              <w:rPr>
                <w:rFonts w:cs="Calibri"/>
                <w:color w:val="1F497D" w:themeColor="text2"/>
                <w:szCs w:val="22"/>
                <w:lang w:val="en-GB"/>
              </w:rPr>
            </w:pPr>
            <w:r w:rsidRPr="008C1E72">
              <w:rPr>
                <w:rFonts w:cs="Calibri"/>
                <w:color w:val="1F497D" w:themeColor="text2"/>
                <w:szCs w:val="22"/>
                <w:lang w:val="en-GB"/>
              </w:rPr>
              <w:t xml:space="preserve">In </w:t>
            </w:r>
            <w:r w:rsidR="00743E73" w:rsidRPr="008C1E72">
              <w:rPr>
                <w:rFonts w:cs="Calibri"/>
                <w:color w:val="1F497D" w:themeColor="text2"/>
                <w:szCs w:val="22"/>
                <w:lang w:val="en-GB"/>
              </w:rPr>
              <w:t>December 2017</w:t>
            </w:r>
            <w:r w:rsidRPr="008C1E72">
              <w:rPr>
                <w:rFonts w:cs="Calibri"/>
                <w:color w:val="1F497D" w:themeColor="text2"/>
                <w:szCs w:val="22"/>
                <w:lang w:val="en-GB"/>
              </w:rPr>
              <w:t>, ACNC uploaded the 201</w:t>
            </w:r>
            <w:r w:rsidR="00743E73" w:rsidRPr="008C1E72">
              <w:rPr>
                <w:rFonts w:cs="Calibri"/>
                <w:color w:val="1F497D" w:themeColor="text2"/>
                <w:szCs w:val="22"/>
                <w:lang w:val="en-GB"/>
              </w:rPr>
              <w:t>6</w:t>
            </w:r>
            <w:r w:rsidRPr="008C1E72">
              <w:rPr>
                <w:rFonts w:cs="Calibri"/>
                <w:color w:val="1F497D" w:themeColor="text2"/>
                <w:szCs w:val="22"/>
                <w:lang w:val="en-GB"/>
              </w:rPr>
              <w:t xml:space="preserve"> Annual Information Statements of </w:t>
            </w:r>
            <w:r w:rsidR="00743E73" w:rsidRPr="008C1E72">
              <w:rPr>
                <w:rFonts w:cs="Calibri"/>
                <w:color w:val="1F497D" w:themeColor="text2"/>
                <w:szCs w:val="22"/>
                <w:lang w:val="en-GB"/>
              </w:rPr>
              <w:t>over 48</w:t>
            </w:r>
            <w:r w:rsidR="002E4EDE" w:rsidRPr="008C1E72">
              <w:rPr>
                <w:rFonts w:cs="Calibri"/>
                <w:color w:val="1F497D" w:themeColor="text2"/>
                <w:szCs w:val="22"/>
                <w:lang w:val="en-GB"/>
              </w:rPr>
              <w:t>,5</w:t>
            </w:r>
            <w:r w:rsidRPr="008C1E72">
              <w:rPr>
                <w:rFonts w:cs="Calibri"/>
                <w:color w:val="1F497D" w:themeColor="text2"/>
                <w:szCs w:val="22"/>
                <w:lang w:val="en-GB"/>
              </w:rPr>
              <w:t xml:space="preserve">00 charities. The information, which includes financials, is updated weekly, and allows users to download, compare, filter and sort </w:t>
            </w:r>
            <w:r w:rsidR="00743E73" w:rsidRPr="008C1E72">
              <w:rPr>
                <w:rFonts w:cs="Calibri"/>
                <w:color w:val="1F497D" w:themeColor="text2"/>
                <w:szCs w:val="22"/>
                <w:lang w:val="en-GB"/>
              </w:rPr>
              <w:t>it based on s</w:t>
            </w:r>
            <w:r w:rsidRPr="008C1E72">
              <w:rPr>
                <w:rFonts w:cs="Calibri"/>
                <w:color w:val="1F497D" w:themeColor="text2"/>
                <w:szCs w:val="22"/>
                <w:lang w:val="en-GB"/>
              </w:rPr>
              <w:t xml:space="preserve">everal variables. </w:t>
            </w:r>
            <w:r w:rsidR="005F4178" w:rsidRPr="008C1E72">
              <w:rPr>
                <w:rFonts w:cs="Calibri"/>
              </w:rPr>
              <w:t xml:space="preserve"> </w:t>
            </w:r>
            <w:r w:rsidR="005F4178" w:rsidRPr="008C1E72">
              <w:rPr>
                <w:rFonts w:cs="Calibri"/>
                <w:color w:val="1F497D" w:themeColor="text2"/>
                <w:szCs w:val="22"/>
                <w:lang w:val="en-GB"/>
              </w:rPr>
              <w:t>The ACNC has now published nine different datasets on data.gov.au. The Charity Register dataset is the seventh most used on the site.</w:t>
            </w:r>
          </w:p>
          <w:p w14:paraId="3E012D6B" w14:textId="77777777" w:rsidR="002E196A" w:rsidRPr="008C1E72" w:rsidRDefault="00743E73" w:rsidP="008963E0">
            <w:pPr>
              <w:pStyle w:val="BodyText2"/>
              <w:spacing w:before="120" w:after="120"/>
              <w:rPr>
                <w:rFonts w:cs="Calibri"/>
                <w:b/>
                <w:color w:val="1F497D" w:themeColor="text2"/>
              </w:rPr>
            </w:pPr>
            <w:r w:rsidRPr="008C1E72">
              <w:rPr>
                <w:rFonts w:cs="Calibri"/>
                <w:b/>
                <w:color w:val="1F497D" w:themeColor="text2"/>
              </w:rPr>
              <w:t>Other information</w:t>
            </w:r>
          </w:p>
          <w:p w14:paraId="4E382FA5" w14:textId="1384A797" w:rsidR="002E196A" w:rsidRPr="008C1E72" w:rsidRDefault="002E196A" w:rsidP="00E31886">
            <w:pPr>
              <w:spacing w:before="120"/>
              <w:rPr>
                <w:rFonts w:cs="Calibri"/>
                <w:color w:val="1F497D" w:themeColor="text2"/>
                <w:szCs w:val="22"/>
                <w:highlight w:val="yellow"/>
                <w:lang w:val="en-GB"/>
              </w:rPr>
            </w:pPr>
            <w:r w:rsidRPr="008C1E72">
              <w:rPr>
                <w:rFonts w:cs="Calibri"/>
                <w:color w:val="1F497D" w:themeColor="text2"/>
                <w:szCs w:val="22"/>
                <w:lang w:val="en-GB"/>
              </w:rPr>
              <w:t xml:space="preserve">We regularly receive and respond to </w:t>
            </w:r>
            <w:r w:rsidR="00D41F44">
              <w:rPr>
                <w:rFonts w:cs="Calibri"/>
                <w:color w:val="1F497D" w:themeColor="text2"/>
                <w:szCs w:val="22"/>
                <w:lang w:val="en-GB"/>
              </w:rPr>
              <w:t>queries</w:t>
            </w:r>
            <w:r w:rsidR="00D41F44" w:rsidRPr="008C1E72">
              <w:rPr>
                <w:rFonts w:cs="Calibri"/>
                <w:color w:val="1F497D" w:themeColor="text2"/>
                <w:szCs w:val="22"/>
                <w:lang w:val="en-GB"/>
              </w:rPr>
              <w:t xml:space="preserve"> </w:t>
            </w:r>
            <w:r w:rsidRPr="008C1E72">
              <w:rPr>
                <w:rFonts w:cs="Calibri"/>
                <w:color w:val="1F497D" w:themeColor="text2"/>
                <w:szCs w:val="22"/>
                <w:lang w:val="en-GB"/>
              </w:rPr>
              <w:t xml:space="preserve">about charity </w:t>
            </w:r>
            <w:r w:rsidR="00310B5D" w:rsidRPr="008C1E72">
              <w:rPr>
                <w:rFonts w:cs="Calibri"/>
                <w:color w:val="1F497D" w:themeColor="text2"/>
                <w:szCs w:val="22"/>
                <w:lang w:val="en-GB"/>
              </w:rPr>
              <w:t>data</w:t>
            </w:r>
            <w:r w:rsidR="004B4A9F">
              <w:rPr>
                <w:rFonts w:cs="Calibri"/>
                <w:color w:val="1F497D" w:themeColor="text2"/>
                <w:szCs w:val="22"/>
                <w:lang w:val="en-GB"/>
              </w:rPr>
              <w:t>,</w:t>
            </w:r>
            <w:r w:rsidR="00310B5D" w:rsidRPr="008C1E72">
              <w:rPr>
                <w:rFonts w:cs="Calibri"/>
                <w:color w:val="1F497D" w:themeColor="text2"/>
                <w:szCs w:val="22"/>
                <w:lang w:val="en-GB"/>
              </w:rPr>
              <w:t xml:space="preserve"> and</w:t>
            </w:r>
            <w:r w:rsidRPr="008C1E72">
              <w:rPr>
                <w:rFonts w:cs="Calibri"/>
                <w:color w:val="1F497D" w:themeColor="text2"/>
                <w:szCs w:val="22"/>
                <w:lang w:val="en-GB"/>
              </w:rPr>
              <w:t xml:space="preserve"> have been able to guide many </w:t>
            </w:r>
            <w:r w:rsidR="00D41F44">
              <w:rPr>
                <w:rFonts w:cs="Calibri"/>
                <w:color w:val="1F497D" w:themeColor="text2"/>
                <w:szCs w:val="22"/>
                <w:lang w:val="en-GB"/>
              </w:rPr>
              <w:t>people</w:t>
            </w:r>
            <w:r w:rsidRPr="008C1E72">
              <w:rPr>
                <w:rFonts w:cs="Calibri"/>
                <w:color w:val="1F497D" w:themeColor="text2"/>
                <w:szCs w:val="22"/>
                <w:lang w:val="en-GB"/>
              </w:rPr>
              <w:t xml:space="preserve"> to use our data resources to bolster their research, media or policy papers.</w:t>
            </w:r>
            <w:r w:rsidRPr="008C1E72">
              <w:rPr>
                <w:rFonts w:cs="Calibri"/>
                <w:color w:val="1F497D" w:themeColor="text2"/>
                <w:szCs w:val="22"/>
                <w:highlight w:val="green"/>
                <w:lang w:val="en-GB"/>
              </w:rPr>
              <w:t xml:space="preserve"> </w:t>
            </w:r>
          </w:p>
        </w:tc>
      </w:tr>
      <w:tr w:rsidR="002E196A" w:rsidRPr="008C1E72" w14:paraId="631EE42C" w14:textId="77777777" w:rsidTr="00760E04">
        <w:trPr>
          <w:trHeight w:val="821"/>
        </w:trPr>
        <w:tc>
          <w:tcPr>
            <w:tcW w:w="91" w:type="pct"/>
            <w:shd w:val="clear" w:color="auto" w:fill="D9D9D9" w:themeFill="background1" w:themeFillShade="D9"/>
            <w:vAlign w:val="center"/>
          </w:tcPr>
          <w:p w14:paraId="04923461" w14:textId="77777777" w:rsidR="002E196A" w:rsidRPr="008C1E72" w:rsidRDefault="002E196A" w:rsidP="0077552A">
            <w:pPr>
              <w:spacing w:after="0"/>
              <w:jc w:val="center"/>
              <w:rPr>
                <w:rFonts w:cs="Calibri"/>
                <w:b/>
                <w:szCs w:val="22"/>
                <w:lang w:val="en-GB"/>
              </w:rPr>
            </w:pPr>
            <w:r w:rsidRPr="008C1E72">
              <w:rPr>
                <w:rFonts w:cs="Calibri"/>
                <w:b/>
                <w:szCs w:val="22"/>
                <w:lang w:val="en-GB"/>
              </w:rPr>
              <w:t>B</w:t>
            </w:r>
          </w:p>
        </w:tc>
        <w:tc>
          <w:tcPr>
            <w:tcW w:w="623" w:type="pct"/>
            <w:gridSpan w:val="2"/>
            <w:vAlign w:val="center"/>
          </w:tcPr>
          <w:p w14:paraId="77F02582" w14:textId="77777777" w:rsidR="002E196A" w:rsidRPr="008C1E72" w:rsidRDefault="002E196A" w:rsidP="0077552A">
            <w:pPr>
              <w:spacing w:after="0"/>
              <w:rPr>
                <w:rFonts w:cs="Calibri"/>
                <w:szCs w:val="22"/>
                <w:lang w:val="en-GB"/>
              </w:rPr>
            </w:pPr>
            <w:r w:rsidRPr="008C1E72">
              <w:rPr>
                <w:rFonts w:cs="Calibri"/>
                <w:szCs w:val="22"/>
                <w:lang w:val="en-GB"/>
              </w:rPr>
              <w:t>Regulators take actions to minimise the potential for unintended negative impacts of regulatory activities on regulated entities or affected supplier industries and supply chains.</w:t>
            </w:r>
          </w:p>
        </w:tc>
        <w:tc>
          <w:tcPr>
            <w:tcW w:w="132" w:type="pct"/>
            <w:gridSpan w:val="2"/>
            <w:shd w:val="clear" w:color="auto" w:fill="D9D9D9" w:themeFill="background1" w:themeFillShade="D9"/>
            <w:vAlign w:val="center"/>
          </w:tcPr>
          <w:p w14:paraId="52DBD5E0" w14:textId="77777777" w:rsidR="002E196A" w:rsidRPr="008C1E72" w:rsidRDefault="002E196A" w:rsidP="0077552A">
            <w:pPr>
              <w:suppressAutoHyphens/>
              <w:jc w:val="center"/>
              <w:rPr>
                <w:rFonts w:cs="Calibri"/>
                <w:b/>
                <w:szCs w:val="22"/>
                <w:lang w:val="en-GB"/>
              </w:rPr>
            </w:pPr>
            <w:r w:rsidRPr="008C1E72">
              <w:rPr>
                <w:rFonts w:cs="Calibri"/>
                <w:b/>
                <w:szCs w:val="22"/>
                <w:lang w:val="en-GB"/>
              </w:rPr>
              <w:t>1.3</w:t>
            </w:r>
          </w:p>
        </w:tc>
        <w:tc>
          <w:tcPr>
            <w:tcW w:w="755" w:type="pct"/>
            <w:gridSpan w:val="3"/>
            <w:shd w:val="clear" w:color="auto" w:fill="auto"/>
            <w:vAlign w:val="center"/>
          </w:tcPr>
          <w:p w14:paraId="56A8D0B5" w14:textId="77777777" w:rsidR="002E196A" w:rsidRPr="008C1E72" w:rsidRDefault="002E196A" w:rsidP="0077552A">
            <w:pPr>
              <w:spacing w:after="0"/>
              <w:rPr>
                <w:rFonts w:cs="Calibri"/>
                <w:b/>
                <w:szCs w:val="22"/>
                <w:lang w:val="en-GB"/>
              </w:rPr>
            </w:pPr>
            <w:r w:rsidRPr="008C1E72">
              <w:rPr>
                <w:rFonts w:cs="Calibri"/>
                <w:b/>
                <w:szCs w:val="22"/>
                <w:lang w:val="en-GB"/>
              </w:rPr>
              <w:t>Administrative practices are reviewed to identify opportunities to streamline interactions and reduce compliance costs</w:t>
            </w:r>
          </w:p>
        </w:tc>
        <w:tc>
          <w:tcPr>
            <w:tcW w:w="904" w:type="pct"/>
            <w:vAlign w:val="center"/>
          </w:tcPr>
          <w:p w14:paraId="255BA3E5" w14:textId="77777777" w:rsidR="00403732" w:rsidRPr="008C1E72" w:rsidRDefault="00403732" w:rsidP="0077552A">
            <w:pPr>
              <w:spacing w:after="0"/>
              <w:rPr>
                <w:rFonts w:cs="Calibri"/>
                <w:b/>
                <w:color w:val="1F497D" w:themeColor="text2"/>
                <w:szCs w:val="22"/>
                <w:lang w:val="en-GB"/>
              </w:rPr>
            </w:pPr>
          </w:p>
          <w:p w14:paraId="47AB507F" w14:textId="77777777" w:rsidR="002E196A" w:rsidRPr="008C1E72" w:rsidRDefault="002E196A" w:rsidP="0077552A">
            <w:pPr>
              <w:spacing w:after="0"/>
              <w:rPr>
                <w:rFonts w:cs="Calibri"/>
                <w:b/>
                <w:color w:val="1F497D" w:themeColor="text2"/>
                <w:szCs w:val="22"/>
                <w:lang w:val="en-GB"/>
              </w:rPr>
            </w:pPr>
            <w:r w:rsidRPr="008C1E72">
              <w:rPr>
                <w:rFonts w:cs="Calibri"/>
                <w:b/>
                <w:color w:val="1F497D" w:themeColor="text2"/>
                <w:szCs w:val="22"/>
                <w:lang w:val="en-GB"/>
              </w:rPr>
              <w:t>Meetings of the</w:t>
            </w:r>
            <w:r w:rsidR="00C65E22" w:rsidRPr="008C1E72">
              <w:rPr>
                <w:rFonts w:cs="Calibri"/>
                <w:b/>
                <w:color w:val="1F497D" w:themeColor="text2"/>
                <w:szCs w:val="22"/>
                <w:lang w:val="en-GB"/>
              </w:rPr>
              <w:t xml:space="preserve"> Reporting and Red Tape Reduction Committee/</w:t>
            </w:r>
            <w:r w:rsidR="00B94D0F" w:rsidRPr="008C1E72">
              <w:rPr>
                <w:rFonts w:cs="Calibri"/>
                <w:b/>
                <w:color w:val="1F497D" w:themeColor="text2"/>
                <w:szCs w:val="22"/>
                <w:lang w:val="en-GB"/>
              </w:rPr>
              <w:t xml:space="preserve"> </w:t>
            </w:r>
            <w:r w:rsidR="00C65E22" w:rsidRPr="008C1E72">
              <w:rPr>
                <w:rFonts w:cs="Calibri"/>
                <w:b/>
                <w:color w:val="1F497D" w:themeColor="text2"/>
                <w:szCs w:val="22"/>
                <w:lang w:val="en-GB"/>
              </w:rPr>
              <w:t xml:space="preserve">Management Committee Meeting </w:t>
            </w:r>
          </w:p>
          <w:p w14:paraId="123BFCD8" w14:textId="77777777" w:rsidR="002E196A" w:rsidRPr="008C1E72" w:rsidRDefault="002E196A" w:rsidP="0077552A">
            <w:pPr>
              <w:spacing w:after="0"/>
              <w:rPr>
                <w:rFonts w:cs="Calibri"/>
                <w:szCs w:val="22"/>
                <w:lang w:val="en-GB"/>
              </w:rPr>
            </w:pPr>
          </w:p>
          <w:p w14:paraId="225FA2BE" w14:textId="77777777" w:rsidR="005A2E61" w:rsidRPr="008C1E72" w:rsidRDefault="00B94D0F" w:rsidP="0077552A">
            <w:pPr>
              <w:spacing w:after="0"/>
              <w:rPr>
                <w:rFonts w:cs="Calibri"/>
                <w:color w:val="1F497D" w:themeColor="text2"/>
                <w:szCs w:val="22"/>
                <w:lang w:val="en-GB"/>
              </w:rPr>
            </w:pPr>
            <w:r w:rsidRPr="008C1E72">
              <w:rPr>
                <w:rFonts w:cs="Calibri"/>
                <w:color w:val="1F497D" w:themeColor="text2"/>
                <w:szCs w:val="22"/>
                <w:lang w:val="en-GB"/>
              </w:rPr>
              <w:t>During the 2017-</w:t>
            </w:r>
            <w:r w:rsidR="004118F8" w:rsidRPr="008C1E72">
              <w:rPr>
                <w:rFonts w:cs="Calibri"/>
                <w:color w:val="1F497D" w:themeColor="text2"/>
                <w:szCs w:val="22"/>
                <w:lang w:val="en-GB"/>
              </w:rPr>
              <w:t>18 year</w:t>
            </w:r>
            <w:r w:rsidR="009D7A95" w:rsidRPr="008C1E72">
              <w:rPr>
                <w:rFonts w:cs="Calibri"/>
                <w:color w:val="1F497D" w:themeColor="text2"/>
                <w:szCs w:val="22"/>
                <w:lang w:val="en-GB"/>
              </w:rPr>
              <w:t xml:space="preserve">, the </w:t>
            </w:r>
            <w:r w:rsidR="002E196A" w:rsidRPr="008C1E72">
              <w:rPr>
                <w:rFonts w:cs="Calibri"/>
                <w:color w:val="1F497D" w:themeColor="text2"/>
                <w:szCs w:val="22"/>
                <w:lang w:val="en-GB"/>
              </w:rPr>
              <w:t>Reporting and Red Tape Reduction Committe</w:t>
            </w:r>
            <w:r w:rsidR="005A2E61" w:rsidRPr="008C1E72">
              <w:rPr>
                <w:rFonts w:cs="Calibri"/>
                <w:color w:val="1F497D" w:themeColor="text2"/>
                <w:szCs w:val="22"/>
                <w:lang w:val="en-GB"/>
              </w:rPr>
              <w:t>e met twice</w:t>
            </w:r>
            <w:r w:rsidR="004118F8" w:rsidRPr="008C1E72">
              <w:rPr>
                <w:rFonts w:cs="Calibri"/>
                <w:color w:val="1F497D" w:themeColor="text2"/>
                <w:lang w:val="en-GB"/>
              </w:rPr>
              <w:t>, and</w:t>
            </w:r>
            <w:r w:rsidR="00EC0921" w:rsidRPr="008C1E72">
              <w:rPr>
                <w:rFonts w:cs="Calibri"/>
                <w:color w:val="1F497D" w:themeColor="text2"/>
                <w:szCs w:val="22"/>
                <w:lang w:val="en-GB"/>
              </w:rPr>
              <w:t xml:space="preserve"> </w:t>
            </w:r>
            <w:r w:rsidR="009D7A95" w:rsidRPr="008C1E72">
              <w:rPr>
                <w:rFonts w:cs="Calibri"/>
                <w:color w:val="1F497D" w:themeColor="text2"/>
                <w:szCs w:val="22"/>
                <w:lang w:val="en-GB"/>
              </w:rPr>
              <w:t>t</w:t>
            </w:r>
            <w:r w:rsidR="005A2E61" w:rsidRPr="008C1E72">
              <w:rPr>
                <w:rFonts w:cs="Calibri"/>
                <w:color w:val="1F497D" w:themeColor="text2"/>
                <w:szCs w:val="22"/>
                <w:lang w:val="en-GB"/>
              </w:rPr>
              <w:t>he Man</w:t>
            </w:r>
            <w:r w:rsidR="000A0AF2" w:rsidRPr="008C1E72">
              <w:rPr>
                <w:rFonts w:cs="Calibri"/>
                <w:color w:val="1F497D" w:themeColor="text2"/>
                <w:szCs w:val="22"/>
                <w:lang w:val="en-GB"/>
              </w:rPr>
              <w:t>agement Committee met nine</w:t>
            </w:r>
            <w:r w:rsidR="005A2E61" w:rsidRPr="008C1E72">
              <w:rPr>
                <w:rFonts w:cs="Calibri"/>
                <w:color w:val="1F497D" w:themeColor="text2"/>
                <w:szCs w:val="22"/>
                <w:lang w:val="en-GB"/>
              </w:rPr>
              <w:t xml:space="preserve"> times.</w:t>
            </w:r>
          </w:p>
          <w:p w14:paraId="49F3164F" w14:textId="77777777" w:rsidR="002E196A" w:rsidRPr="008C1E72" w:rsidRDefault="002E196A" w:rsidP="0077552A">
            <w:pPr>
              <w:spacing w:after="0"/>
              <w:rPr>
                <w:rFonts w:cs="Calibri"/>
                <w:szCs w:val="22"/>
                <w:highlight w:val="yellow"/>
                <w:lang w:val="en-GB"/>
              </w:rPr>
            </w:pPr>
          </w:p>
          <w:p w14:paraId="0DABB2E3" w14:textId="77777777" w:rsidR="002E196A" w:rsidRPr="008C1E72" w:rsidRDefault="005A2E61" w:rsidP="0077552A">
            <w:pPr>
              <w:spacing w:after="0"/>
              <w:rPr>
                <w:rFonts w:cs="Calibri"/>
                <w:b/>
                <w:color w:val="1F497D" w:themeColor="text2"/>
                <w:szCs w:val="22"/>
                <w:lang w:val="en-GB"/>
              </w:rPr>
            </w:pPr>
            <w:r w:rsidRPr="008C1E72">
              <w:rPr>
                <w:rFonts w:cs="Calibri"/>
                <w:b/>
                <w:color w:val="1F497D" w:themeColor="text2"/>
                <w:szCs w:val="22"/>
                <w:lang w:val="en-GB"/>
              </w:rPr>
              <w:t>Review of administrative practices</w:t>
            </w:r>
          </w:p>
          <w:p w14:paraId="0EFA6E4F" w14:textId="77777777" w:rsidR="002E196A" w:rsidRPr="008C1E72" w:rsidRDefault="002E196A" w:rsidP="0077552A">
            <w:pPr>
              <w:spacing w:after="0"/>
              <w:rPr>
                <w:rFonts w:cs="Calibri"/>
                <w:szCs w:val="22"/>
                <w:lang w:val="en-GB"/>
              </w:rPr>
            </w:pPr>
          </w:p>
          <w:p w14:paraId="386676E2" w14:textId="77777777" w:rsidR="005A2E61" w:rsidRPr="008C1E72" w:rsidRDefault="005A2E61" w:rsidP="0077552A">
            <w:pPr>
              <w:spacing w:after="0"/>
              <w:rPr>
                <w:rFonts w:cs="Calibri"/>
                <w:color w:val="1F497D" w:themeColor="text2"/>
                <w:szCs w:val="22"/>
                <w:lang w:val="en-GB"/>
              </w:rPr>
            </w:pPr>
            <w:r w:rsidRPr="008C1E72">
              <w:rPr>
                <w:rFonts w:cs="Calibri"/>
                <w:color w:val="1F497D" w:themeColor="text2"/>
                <w:szCs w:val="22"/>
                <w:lang w:val="en-GB"/>
              </w:rPr>
              <w:t xml:space="preserve">The ACNC’s </w:t>
            </w:r>
            <w:r w:rsidR="002E196A" w:rsidRPr="008C1E72">
              <w:rPr>
                <w:rFonts w:cs="Calibri"/>
                <w:color w:val="1F497D" w:themeColor="text2"/>
                <w:szCs w:val="22"/>
                <w:lang w:val="en-GB"/>
              </w:rPr>
              <w:t xml:space="preserve">policy statements and </w:t>
            </w:r>
            <w:r w:rsidR="00390CED" w:rsidRPr="008C1E72">
              <w:rPr>
                <w:rFonts w:cs="Calibri"/>
                <w:color w:val="1F497D" w:themeColor="text2"/>
                <w:szCs w:val="22"/>
                <w:lang w:val="en-GB"/>
              </w:rPr>
              <w:t>Operational Procedures</w:t>
            </w:r>
            <w:r w:rsidRPr="008C1E72">
              <w:rPr>
                <w:rFonts w:cs="Calibri"/>
                <w:color w:val="1F497D" w:themeColor="text2"/>
                <w:szCs w:val="22"/>
                <w:lang w:val="en-GB"/>
              </w:rPr>
              <w:t xml:space="preserve"> are available on our website.</w:t>
            </w:r>
            <w:r w:rsidR="006F0E71" w:rsidRPr="008C1E72">
              <w:rPr>
                <w:rFonts w:cs="Calibri"/>
                <w:color w:val="1F497D" w:themeColor="text2"/>
                <w:szCs w:val="22"/>
                <w:lang w:val="en-GB"/>
              </w:rPr>
              <w:t xml:space="preserve">  </w:t>
            </w:r>
          </w:p>
          <w:p w14:paraId="4DEBA00E" w14:textId="77777777" w:rsidR="005A2E61" w:rsidRPr="008C1E72" w:rsidRDefault="005A2E61" w:rsidP="0077552A">
            <w:pPr>
              <w:spacing w:after="0"/>
              <w:rPr>
                <w:rFonts w:cs="Calibri"/>
                <w:color w:val="1F497D" w:themeColor="text2"/>
                <w:szCs w:val="22"/>
                <w:lang w:val="en-GB"/>
              </w:rPr>
            </w:pPr>
          </w:p>
          <w:p w14:paraId="63681EC3" w14:textId="77777777" w:rsidR="002E196A" w:rsidRPr="008C1E72" w:rsidRDefault="005A2E61" w:rsidP="0077552A">
            <w:pPr>
              <w:spacing w:after="0"/>
              <w:rPr>
                <w:rFonts w:cs="Calibri"/>
                <w:color w:val="1F497D" w:themeColor="text2"/>
                <w:szCs w:val="22"/>
                <w:lang w:val="en-GB"/>
              </w:rPr>
            </w:pPr>
            <w:r w:rsidRPr="008C1E72">
              <w:rPr>
                <w:rFonts w:cs="Calibri"/>
                <w:color w:val="1F497D" w:themeColor="text2"/>
                <w:szCs w:val="22"/>
                <w:lang w:val="en-GB"/>
              </w:rPr>
              <w:t xml:space="preserve">In 2017-18, the ACNC updated or developed </w:t>
            </w:r>
            <w:r w:rsidR="00EC0921" w:rsidRPr="008C1E72">
              <w:rPr>
                <w:rFonts w:cs="Calibri"/>
                <w:color w:val="1F497D" w:themeColor="text2"/>
                <w:szCs w:val="22"/>
                <w:lang w:val="en-GB"/>
              </w:rPr>
              <w:t>five</w:t>
            </w:r>
            <w:r w:rsidRPr="008C1E72">
              <w:rPr>
                <w:rFonts w:cs="Calibri"/>
                <w:color w:val="1F497D" w:themeColor="text2"/>
                <w:szCs w:val="22"/>
                <w:lang w:val="en-GB"/>
              </w:rPr>
              <w:t xml:space="preserve"> Commissioner’s Policy Statements. Five Operational procedures were updated or developed.</w:t>
            </w:r>
          </w:p>
          <w:p w14:paraId="2C710B56" w14:textId="77777777" w:rsidR="008F568B" w:rsidRPr="008C1E72" w:rsidRDefault="008F568B" w:rsidP="0077552A">
            <w:pPr>
              <w:spacing w:after="0"/>
              <w:rPr>
                <w:rFonts w:cs="Calibri"/>
                <w:color w:val="1F497D" w:themeColor="text2"/>
                <w:szCs w:val="22"/>
                <w:lang w:val="en-GB"/>
              </w:rPr>
            </w:pPr>
          </w:p>
          <w:p w14:paraId="07CCBCAF" w14:textId="77777777" w:rsidR="008F568B" w:rsidRPr="008C1E72" w:rsidRDefault="008F568B" w:rsidP="0077552A">
            <w:pPr>
              <w:spacing w:after="0"/>
              <w:rPr>
                <w:rFonts w:cs="Calibri"/>
                <w:szCs w:val="22"/>
                <w:highlight w:val="yellow"/>
                <w:lang w:val="en-GB"/>
              </w:rPr>
            </w:pPr>
          </w:p>
        </w:tc>
        <w:tc>
          <w:tcPr>
            <w:tcW w:w="235" w:type="pct"/>
          </w:tcPr>
          <w:p w14:paraId="546F4244" w14:textId="77777777" w:rsidR="002E196A" w:rsidRPr="008C1E72" w:rsidRDefault="002E196A" w:rsidP="0077552A">
            <w:pPr>
              <w:spacing w:after="0"/>
              <w:jc w:val="center"/>
              <w:rPr>
                <w:rFonts w:cs="Calibri"/>
                <w:noProof/>
                <w:color w:val="1F497D" w:themeColor="text2"/>
                <w:szCs w:val="22"/>
                <w:highlight w:val="yellow"/>
                <w:lang w:eastAsia="en-AU"/>
              </w:rPr>
            </w:pPr>
          </w:p>
          <w:p w14:paraId="4B4E097D" w14:textId="77777777" w:rsidR="00245E4D" w:rsidRPr="008C1E72" w:rsidRDefault="00245E4D" w:rsidP="0077552A">
            <w:pPr>
              <w:spacing w:after="0"/>
              <w:jc w:val="center"/>
              <w:rPr>
                <w:rFonts w:cs="Calibri"/>
                <w:noProof/>
                <w:color w:val="1F497D" w:themeColor="text2"/>
                <w:szCs w:val="22"/>
                <w:highlight w:val="yellow"/>
                <w:lang w:eastAsia="en-AU"/>
              </w:rPr>
            </w:pPr>
          </w:p>
          <w:p w14:paraId="0BCED1A3" w14:textId="77777777" w:rsidR="00245E4D" w:rsidRPr="008C1E72" w:rsidRDefault="00245E4D" w:rsidP="0077552A">
            <w:pPr>
              <w:spacing w:after="0"/>
              <w:jc w:val="center"/>
              <w:rPr>
                <w:rFonts w:cs="Calibri"/>
                <w:noProof/>
                <w:color w:val="1F497D" w:themeColor="text2"/>
                <w:szCs w:val="22"/>
                <w:highlight w:val="yellow"/>
                <w:lang w:eastAsia="en-AU"/>
              </w:rPr>
            </w:pPr>
          </w:p>
          <w:p w14:paraId="184D09CC" w14:textId="77777777" w:rsidR="00245E4D" w:rsidRPr="008C1E72" w:rsidRDefault="00245E4D" w:rsidP="0077552A">
            <w:pPr>
              <w:spacing w:after="0"/>
              <w:jc w:val="center"/>
              <w:rPr>
                <w:rFonts w:cs="Calibri"/>
                <w:noProof/>
                <w:color w:val="1F497D" w:themeColor="text2"/>
                <w:szCs w:val="22"/>
                <w:highlight w:val="yellow"/>
                <w:lang w:eastAsia="en-AU"/>
              </w:rPr>
            </w:pPr>
          </w:p>
          <w:p w14:paraId="5E7D97B2" w14:textId="77777777" w:rsidR="00245E4D" w:rsidRPr="008C1E72" w:rsidRDefault="00245E4D" w:rsidP="0077552A">
            <w:pPr>
              <w:spacing w:after="0"/>
              <w:jc w:val="center"/>
              <w:rPr>
                <w:rFonts w:cs="Calibri"/>
                <w:noProof/>
                <w:color w:val="1F497D" w:themeColor="text2"/>
                <w:szCs w:val="22"/>
                <w:highlight w:val="yellow"/>
                <w:lang w:eastAsia="en-AU"/>
              </w:rPr>
            </w:pPr>
          </w:p>
          <w:p w14:paraId="13317789" w14:textId="77777777" w:rsidR="00245E4D" w:rsidRPr="008C1E72" w:rsidRDefault="00245E4D" w:rsidP="0077552A">
            <w:pPr>
              <w:spacing w:after="0"/>
              <w:jc w:val="center"/>
              <w:rPr>
                <w:rFonts w:cs="Calibri"/>
                <w:noProof/>
                <w:color w:val="1F497D" w:themeColor="text2"/>
                <w:szCs w:val="22"/>
                <w:highlight w:val="yellow"/>
                <w:lang w:eastAsia="en-AU"/>
              </w:rPr>
            </w:pPr>
          </w:p>
          <w:p w14:paraId="6BC37D83" w14:textId="77777777" w:rsidR="00245E4D" w:rsidRPr="008C1E72" w:rsidRDefault="00245E4D" w:rsidP="0077552A">
            <w:pPr>
              <w:spacing w:after="0"/>
              <w:jc w:val="center"/>
              <w:rPr>
                <w:rFonts w:cs="Calibri"/>
                <w:noProof/>
                <w:color w:val="1F497D" w:themeColor="text2"/>
                <w:szCs w:val="22"/>
                <w:highlight w:val="yellow"/>
                <w:lang w:eastAsia="en-AU"/>
              </w:rPr>
            </w:pPr>
          </w:p>
          <w:p w14:paraId="45B2F404" w14:textId="77777777" w:rsidR="00245E4D" w:rsidRPr="008C1E72" w:rsidRDefault="00245E4D" w:rsidP="0077552A">
            <w:pPr>
              <w:spacing w:after="0"/>
              <w:jc w:val="center"/>
              <w:rPr>
                <w:rFonts w:cs="Calibri"/>
                <w:noProof/>
                <w:color w:val="1F497D" w:themeColor="text2"/>
                <w:szCs w:val="22"/>
                <w:highlight w:val="yellow"/>
                <w:lang w:eastAsia="en-AU"/>
              </w:rPr>
            </w:pPr>
          </w:p>
          <w:p w14:paraId="7D4806CE" w14:textId="77777777" w:rsidR="00245E4D" w:rsidRPr="008C1E72" w:rsidRDefault="00245E4D" w:rsidP="0077552A">
            <w:pPr>
              <w:spacing w:after="0"/>
              <w:jc w:val="center"/>
              <w:rPr>
                <w:rFonts w:cs="Calibri"/>
                <w:noProof/>
                <w:color w:val="1F497D" w:themeColor="text2"/>
                <w:szCs w:val="22"/>
                <w:highlight w:val="yellow"/>
                <w:lang w:eastAsia="en-AU"/>
              </w:rPr>
            </w:pPr>
          </w:p>
          <w:p w14:paraId="4F3A065E" w14:textId="77777777" w:rsidR="00245E4D" w:rsidRPr="008C1E72" w:rsidRDefault="00245E4D" w:rsidP="0077552A">
            <w:pPr>
              <w:spacing w:after="0"/>
              <w:jc w:val="center"/>
              <w:rPr>
                <w:rFonts w:cs="Calibri"/>
                <w:noProof/>
                <w:color w:val="1F497D" w:themeColor="text2"/>
                <w:szCs w:val="22"/>
                <w:highlight w:val="yellow"/>
                <w:lang w:eastAsia="en-AU"/>
              </w:rPr>
            </w:pPr>
          </w:p>
          <w:p w14:paraId="001335F8" w14:textId="77777777" w:rsidR="00245E4D" w:rsidRPr="008C1E72" w:rsidRDefault="00245E4D" w:rsidP="0077552A">
            <w:pPr>
              <w:spacing w:after="0"/>
              <w:jc w:val="center"/>
              <w:rPr>
                <w:rFonts w:cs="Calibri"/>
                <w:noProof/>
                <w:color w:val="1F497D" w:themeColor="text2"/>
                <w:szCs w:val="22"/>
                <w:highlight w:val="yellow"/>
                <w:lang w:eastAsia="en-AU"/>
              </w:rPr>
            </w:pPr>
          </w:p>
          <w:p w14:paraId="7C0A1B32" w14:textId="77777777" w:rsidR="00245E4D" w:rsidRPr="008C1E72" w:rsidRDefault="00245E4D" w:rsidP="0077552A">
            <w:pPr>
              <w:spacing w:after="0"/>
              <w:jc w:val="center"/>
              <w:rPr>
                <w:rFonts w:cs="Calibri"/>
                <w:noProof/>
                <w:color w:val="1F497D" w:themeColor="text2"/>
                <w:szCs w:val="22"/>
                <w:highlight w:val="yellow"/>
                <w:lang w:eastAsia="en-AU"/>
              </w:rPr>
            </w:pPr>
          </w:p>
          <w:p w14:paraId="2AC23E89" w14:textId="77777777" w:rsidR="002E196A" w:rsidRPr="008C1E72" w:rsidRDefault="00245E4D" w:rsidP="0077552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50C18070" wp14:editId="2A6920E1">
                  <wp:extent cx="201295" cy="213360"/>
                  <wp:effectExtent l="0" t="0" r="825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p w14:paraId="78E5C823" w14:textId="77777777" w:rsidR="002E196A" w:rsidRPr="008C1E72" w:rsidRDefault="002E196A" w:rsidP="0077552A">
            <w:pPr>
              <w:spacing w:after="0"/>
              <w:jc w:val="center"/>
              <w:rPr>
                <w:rFonts w:cs="Calibri"/>
                <w:noProof/>
                <w:color w:val="1F497D" w:themeColor="text2"/>
                <w:szCs w:val="22"/>
                <w:highlight w:val="yellow"/>
                <w:lang w:eastAsia="en-AU"/>
              </w:rPr>
            </w:pPr>
          </w:p>
          <w:p w14:paraId="223BD3AA" w14:textId="77777777" w:rsidR="002E196A" w:rsidRPr="008C1E72" w:rsidRDefault="002E196A" w:rsidP="0077552A">
            <w:pPr>
              <w:spacing w:after="0"/>
              <w:jc w:val="center"/>
              <w:rPr>
                <w:rFonts w:cs="Calibri"/>
                <w:noProof/>
                <w:color w:val="1F497D" w:themeColor="text2"/>
                <w:szCs w:val="22"/>
                <w:highlight w:val="yellow"/>
                <w:lang w:eastAsia="en-AU"/>
              </w:rPr>
            </w:pPr>
          </w:p>
        </w:tc>
        <w:tc>
          <w:tcPr>
            <w:tcW w:w="2260" w:type="pct"/>
          </w:tcPr>
          <w:p w14:paraId="6C33D86D" w14:textId="77777777" w:rsidR="002E196A" w:rsidRPr="008C1E72" w:rsidRDefault="002E196A" w:rsidP="008963E0">
            <w:pPr>
              <w:pStyle w:val="BodyText2"/>
              <w:spacing w:before="120" w:after="120"/>
              <w:rPr>
                <w:rFonts w:cs="Calibri"/>
                <w:b/>
                <w:color w:val="1F497D" w:themeColor="text2"/>
              </w:rPr>
            </w:pPr>
            <w:r w:rsidRPr="008C1E72">
              <w:rPr>
                <w:rFonts w:cs="Calibri"/>
                <w:b/>
                <w:color w:val="1F497D" w:themeColor="text2"/>
              </w:rPr>
              <w:t>Reporting and Red Tape Reduction Committee</w:t>
            </w:r>
            <w:r w:rsidR="00743E73" w:rsidRPr="008C1E72">
              <w:rPr>
                <w:rFonts w:cs="Calibri"/>
                <w:b/>
                <w:color w:val="1F497D" w:themeColor="text2"/>
              </w:rPr>
              <w:t>/Management Committee meeting</w:t>
            </w:r>
          </w:p>
          <w:p w14:paraId="1C02CC3B" w14:textId="77777777" w:rsidR="00C65E22" w:rsidRPr="008C1E72" w:rsidRDefault="00C65E22" w:rsidP="00245E4D">
            <w:pPr>
              <w:spacing w:before="120"/>
              <w:rPr>
                <w:rFonts w:cs="Calibri"/>
                <w:color w:val="1F497D" w:themeColor="text2"/>
                <w:szCs w:val="22"/>
                <w:lang w:val="en-GB"/>
              </w:rPr>
            </w:pPr>
            <w:r w:rsidRPr="008C1E72">
              <w:rPr>
                <w:rFonts w:cs="Calibri"/>
                <w:color w:val="1F497D" w:themeColor="text2"/>
                <w:szCs w:val="22"/>
                <w:lang w:val="en-GB"/>
              </w:rPr>
              <w:t xml:space="preserve">At </w:t>
            </w:r>
            <w:r w:rsidR="00310B5D" w:rsidRPr="008C1E72">
              <w:rPr>
                <w:rFonts w:cs="Calibri"/>
                <w:color w:val="1F497D" w:themeColor="text2"/>
                <w:szCs w:val="22"/>
                <w:lang w:val="en-GB"/>
              </w:rPr>
              <w:t xml:space="preserve">our </w:t>
            </w:r>
            <w:r w:rsidRPr="008C1E72">
              <w:rPr>
                <w:rFonts w:cs="Calibri"/>
                <w:color w:val="1F497D" w:themeColor="text2"/>
                <w:szCs w:val="22"/>
                <w:lang w:val="en-GB"/>
              </w:rPr>
              <w:t xml:space="preserve">establishment, the ACNC </w:t>
            </w:r>
            <w:r w:rsidR="006F0E71" w:rsidRPr="008C1E72">
              <w:rPr>
                <w:rFonts w:cs="Calibri"/>
                <w:color w:val="1F497D" w:themeColor="text2"/>
                <w:szCs w:val="22"/>
                <w:lang w:val="en-GB"/>
              </w:rPr>
              <w:t xml:space="preserve">formed </w:t>
            </w:r>
            <w:r w:rsidRPr="008C1E72">
              <w:rPr>
                <w:rFonts w:cs="Calibri"/>
                <w:color w:val="1F497D" w:themeColor="text2"/>
                <w:szCs w:val="22"/>
                <w:lang w:val="en-GB"/>
              </w:rPr>
              <w:t>a</w:t>
            </w:r>
            <w:r w:rsidR="002E196A" w:rsidRPr="008C1E72">
              <w:rPr>
                <w:rFonts w:cs="Calibri"/>
                <w:color w:val="1F497D" w:themeColor="text2"/>
                <w:szCs w:val="22"/>
                <w:lang w:val="en-GB"/>
              </w:rPr>
              <w:t xml:space="preserve"> Reporting and Red T</w:t>
            </w:r>
            <w:r w:rsidRPr="008C1E72">
              <w:rPr>
                <w:rFonts w:cs="Calibri"/>
                <w:color w:val="1F497D" w:themeColor="text2"/>
                <w:szCs w:val="22"/>
                <w:lang w:val="en-GB"/>
              </w:rPr>
              <w:t>ape Reduction Committee (RRTRC). This committee was chaired by the Commissioner and was r</w:t>
            </w:r>
            <w:r w:rsidR="002E196A" w:rsidRPr="008C1E72">
              <w:rPr>
                <w:rFonts w:cs="Calibri"/>
                <w:color w:val="1F497D" w:themeColor="text2"/>
                <w:szCs w:val="22"/>
                <w:lang w:val="en-GB"/>
              </w:rPr>
              <w:t>esponsible for developing and monitoring initiatives to reduce unnecessary regulatory requirements on charities</w:t>
            </w:r>
            <w:r w:rsidRPr="008C1E72">
              <w:rPr>
                <w:rFonts w:cs="Calibri"/>
                <w:color w:val="1F497D" w:themeColor="text2"/>
                <w:szCs w:val="22"/>
                <w:lang w:val="en-GB"/>
              </w:rPr>
              <w:t xml:space="preserve"> (red tape reduction)</w:t>
            </w:r>
            <w:r w:rsidR="002E196A" w:rsidRPr="008C1E72">
              <w:rPr>
                <w:rFonts w:cs="Calibri"/>
                <w:color w:val="1F497D" w:themeColor="text2"/>
                <w:szCs w:val="22"/>
                <w:lang w:val="en-GB"/>
              </w:rPr>
              <w:t>.</w:t>
            </w:r>
            <w:r w:rsidRPr="008C1E72">
              <w:rPr>
                <w:rFonts w:cs="Calibri"/>
                <w:color w:val="1F497D" w:themeColor="text2"/>
                <w:szCs w:val="22"/>
                <w:lang w:val="en-GB"/>
              </w:rPr>
              <w:t xml:space="preserve"> </w:t>
            </w:r>
          </w:p>
          <w:p w14:paraId="3261A603" w14:textId="77777777" w:rsidR="00C65E22" w:rsidRPr="008C1E72" w:rsidRDefault="00C65E22" w:rsidP="00245E4D">
            <w:pPr>
              <w:spacing w:before="120"/>
              <w:rPr>
                <w:rFonts w:cs="Calibri"/>
                <w:color w:val="1F497D" w:themeColor="text2"/>
                <w:szCs w:val="22"/>
                <w:lang w:val="en-GB"/>
              </w:rPr>
            </w:pPr>
            <w:r w:rsidRPr="008C1E72">
              <w:rPr>
                <w:rFonts w:cs="Calibri"/>
                <w:color w:val="1F497D" w:themeColor="text2"/>
                <w:szCs w:val="22"/>
                <w:lang w:val="en-GB"/>
              </w:rPr>
              <w:t>The Commissioner also chaired a Management Committee Meeting</w:t>
            </w:r>
            <w:r w:rsidR="005A2E61" w:rsidRPr="008C1E72">
              <w:rPr>
                <w:rFonts w:cs="Calibri"/>
                <w:color w:val="1F497D" w:themeColor="text2"/>
                <w:szCs w:val="22"/>
                <w:lang w:val="en-GB"/>
              </w:rPr>
              <w:t xml:space="preserve"> (MCM)</w:t>
            </w:r>
            <w:r w:rsidR="005F4178" w:rsidRPr="008C1E72">
              <w:rPr>
                <w:rFonts w:cs="Calibri"/>
                <w:color w:val="1F497D" w:themeColor="text2"/>
                <w:szCs w:val="22"/>
                <w:lang w:val="en-GB"/>
              </w:rPr>
              <w:t>,</w:t>
            </w:r>
            <w:r w:rsidRPr="008C1E72">
              <w:rPr>
                <w:rFonts w:cs="Calibri"/>
                <w:color w:val="1F497D" w:themeColor="text2"/>
                <w:szCs w:val="22"/>
                <w:lang w:val="en-GB"/>
              </w:rPr>
              <w:t xml:space="preserve"> which had identical members</w:t>
            </w:r>
            <w:r w:rsidR="004118F8" w:rsidRPr="008C1E72">
              <w:rPr>
                <w:rFonts w:cs="Calibri"/>
                <w:color w:val="1F497D" w:themeColor="text2"/>
                <w:szCs w:val="22"/>
                <w:lang w:val="en-GB"/>
              </w:rPr>
              <w:t>hip</w:t>
            </w:r>
            <w:r w:rsidRPr="008C1E72">
              <w:rPr>
                <w:rFonts w:cs="Calibri"/>
                <w:color w:val="1F497D" w:themeColor="text2"/>
                <w:szCs w:val="22"/>
                <w:lang w:val="en-GB"/>
              </w:rPr>
              <w:t xml:space="preserve"> to the RRTRC. In 2017-18, the ACNC reviewed the purpose of </w:t>
            </w:r>
            <w:r w:rsidR="00310B5D" w:rsidRPr="008C1E72">
              <w:rPr>
                <w:rFonts w:cs="Calibri"/>
                <w:color w:val="1F497D" w:themeColor="text2"/>
                <w:szCs w:val="22"/>
                <w:lang w:val="en-GB"/>
              </w:rPr>
              <w:t>the RRTRC</w:t>
            </w:r>
            <w:r w:rsidRPr="008C1E72">
              <w:rPr>
                <w:rFonts w:cs="Calibri"/>
                <w:color w:val="1F497D" w:themeColor="text2"/>
                <w:szCs w:val="22"/>
                <w:lang w:val="en-GB"/>
              </w:rPr>
              <w:t xml:space="preserve"> and it was decided to merge these meetings together. </w:t>
            </w:r>
          </w:p>
          <w:p w14:paraId="672A8BDE" w14:textId="77777777" w:rsidR="002E196A" w:rsidRPr="008C1E72" w:rsidRDefault="00C65E22" w:rsidP="00245E4D">
            <w:pPr>
              <w:spacing w:before="120"/>
              <w:rPr>
                <w:rFonts w:cs="Calibri"/>
                <w:color w:val="1F497D" w:themeColor="text2"/>
                <w:szCs w:val="22"/>
                <w:lang w:val="en-GB"/>
              </w:rPr>
            </w:pPr>
            <w:r w:rsidRPr="008C1E72">
              <w:rPr>
                <w:rFonts w:cs="Calibri"/>
                <w:color w:val="1F497D" w:themeColor="text2"/>
                <w:szCs w:val="22"/>
                <w:lang w:val="en-GB"/>
              </w:rPr>
              <w:t>As a result, a standing agenda item (related to red tape reduction) was added to the ACNC’s Management Committee Meeting.</w:t>
            </w:r>
          </w:p>
          <w:p w14:paraId="6644A820" w14:textId="77777777" w:rsidR="00C65E22" w:rsidRPr="008C1E72" w:rsidRDefault="00C65E22" w:rsidP="00245E4D">
            <w:pPr>
              <w:spacing w:before="120"/>
              <w:rPr>
                <w:rFonts w:cs="Calibri"/>
                <w:color w:val="1F497D" w:themeColor="text2"/>
                <w:szCs w:val="22"/>
                <w:lang w:val="en-GB"/>
              </w:rPr>
            </w:pPr>
            <w:r w:rsidRPr="008C1E72">
              <w:rPr>
                <w:rFonts w:cs="Calibri"/>
                <w:color w:val="1F497D" w:themeColor="text2"/>
                <w:szCs w:val="22"/>
                <w:lang w:val="en-GB"/>
              </w:rPr>
              <w:t>During the 2017-18 year, t</w:t>
            </w:r>
            <w:r w:rsidR="002E196A" w:rsidRPr="008C1E72">
              <w:rPr>
                <w:rFonts w:cs="Calibri"/>
                <w:color w:val="1F497D" w:themeColor="text2"/>
                <w:szCs w:val="22"/>
                <w:lang w:val="en-GB"/>
              </w:rPr>
              <w:t xml:space="preserve">he RRTRC met </w:t>
            </w:r>
            <w:r w:rsidR="005F4178" w:rsidRPr="008C1E72">
              <w:rPr>
                <w:rFonts w:cs="Calibri"/>
                <w:color w:val="1F497D" w:themeColor="text2"/>
                <w:szCs w:val="22"/>
                <w:lang w:val="en-GB"/>
              </w:rPr>
              <w:t>twice, and the MCM met nine</w:t>
            </w:r>
            <w:r w:rsidRPr="008C1E72">
              <w:rPr>
                <w:rFonts w:cs="Calibri"/>
                <w:color w:val="1F497D" w:themeColor="text2"/>
                <w:szCs w:val="22"/>
                <w:lang w:val="en-GB"/>
              </w:rPr>
              <w:t xml:space="preserve"> times</w:t>
            </w:r>
            <w:r w:rsidR="005A2E61" w:rsidRPr="008C1E72">
              <w:rPr>
                <w:rFonts w:cs="Calibri"/>
                <w:color w:val="1F497D" w:themeColor="text2"/>
                <w:szCs w:val="22"/>
                <w:lang w:val="en-GB"/>
              </w:rPr>
              <w:t>,</w:t>
            </w:r>
            <w:r w:rsidR="005F4178" w:rsidRPr="008C1E72">
              <w:rPr>
                <w:rFonts w:cs="Calibri"/>
                <w:color w:val="1F497D" w:themeColor="text2"/>
                <w:szCs w:val="22"/>
                <w:lang w:val="en-GB"/>
              </w:rPr>
              <w:t xml:space="preserve"> ensuring that we minimised the potential for unintended negative impacts on charities as a result of our regulatory actions</w:t>
            </w:r>
            <w:r w:rsidRPr="008C1E72">
              <w:rPr>
                <w:rFonts w:cs="Calibri"/>
                <w:color w:val="1F497D" w:themeColor="text2"/>
                <w:szCs w:val="22"/>
                <w:lang w:val="en-GB"/>
              </w:rPr>
              <w:t>.</w:t>
            </w:r>
          </w:p>
          <w:p w14:paraId="72F2C3B7" w14:textId="77777777" w:rsidR="002E196A" w:rsidRPr="008C1E72" w:rsidRDefault="005A2E61" w:rsidP="008963E0">
            <w:pPr>
              <w:pStyle w:val="BodyText2"/>
              <w:spacing w:before="120" w:after="120"/>
              <w:rPr>
                <w:rFonts w:cs="Calibri"/>
                <w:b/>
                <w:color w:val="1F497D" w:themeColor="text2"/>
              </w:rPr>
            </w:pPr>
            <w:r w:rsidRPr="008C1E72">
              <w:rPr>
                <w:rFonts w:cs="Calibri"/>
                <w:b/>
                <w:color w:val="1F497D" w:themeColor="text2"/>
              </w:rPr>
              <w:t xml:space="preserve">Review of administrative </w:t>
            </w:r>
            <w:r w:rsidR="00BB2187" w:rsidRPr="008C1E72">
              <w:rPr>
                <w:rFonts w:cs="Calibri"/>
                <w:b/>
                <w:color w:val="1F497D" w:themeColor="text2"/>
              </w:rPr>
              <w:t>practices</w:t>
            </w:r>
          </w:p>
          <w:p w14:paraId="664B397E" w14:textId="77777777" w:rsidR="005A2E61" w:rsidRPr="008C1E72" w:rsidRDefault="005A2E61" w:rsidP="00245E4D">
            <w:pPr>
              <w:spacing w:before="120"/>
              <w:rPr>
                <w:rFonts w:cs="Calibri"/>
                <w:color w:val="1F497D" w:themeColor="text2"/>
                <w:szCs w:val="22"/>
                <w:lang w:val="en-GB"/>
              </w:rPr>
            </w:pPr>
            <w:r w:rsidRPr="008C1E72">
              <w:rPr>
                <w:rFonts w:cs="Calibri"/>
                <w:color w:val="1F497D" w:themeColor="text2"/>
                <w:szCs w:val="22"/>
                <w:lang w:val="en-GB"/>
              </w:rPr>
              <w:t xml:space="preserve">The </w:t>
            </w:r>
            <w:r w:rsidR="00BB2187" w:rsidRPr="008C1E72">
              <w:rPr>
                <w:rFonts w:cs="Calibri"/>
                <w:color w:val="1F497D" w:themeColor="text2"/>
                <w:szCs w:val="22"/>
                <w:lang w:val="en-GB"/>
              </w:rPr>
              <w:t>ACNC’s policy</w:t>
            </w:r>
            <w:r w:rsidRPr="008C1E72">
              <w:rPr>
                <w:rFonts w:cs="Calibri"/>
                <w:color w:val="1F497D" w:themeColor="text2"/>
                <w:szCs w:val="22"/>
                <w:lang w:val="en-GB"/>
              </w:rPr>
              <w:t xml:space="preserve"> statements and </w:t>
            </w:r>
            <w:r w:rsidR="00390CED" w:rsidRPr="008C1E72">
              <w:rPr>
                <w:rFonts w:cs="Calibri"/>
                <w:color w:val="1F497D" w:themeColor="text2"/>
                <w:szCs w:val="22"/>
                <w:lang w:val="en-GB"/>
              </w:rPr>
              <w:t>Operational Procedures</w:t>
            </w:r>
            <w:r w:rsidRPr="008C1E72">
              <w:rPr>
                <w:rFonts w:cs="Calibri"/>
                <w:color w:val="1F497D" w:themeColor="text2"/>
                <w:szCs w:val="22"/>
                <w:lang w:val="en-GB"/>
              </w:rPr>
              <w:t xml:space="preserve"> are available at</w:t>
            </w:r>
            <w:r w:rsidR="00BB2187" w:rsidRPr="008C1E72">
              <w:rPr>
                <w:rFonts w:cs="Calibri"/>
                <w:color w:val="1F497D" w:themeColor="text2"/>
                <w:szCs w:val="22"/>
                <w:lang w:val="en-GB"/>
              </w:rPr>
              <w:t xml:space="preserve"> </w:t>
            </w:r>
            <w:hyperlink r:id="rId54" w:history="1">
              <w:r w:rsidR="00BB2187" w:rsidRPr="008C1E72">
                <w:rPr>
                  <w:rStyle w:val="Hyperlink"/>
                  <w:rFonts w:cs="Calibri"/>
                  <w:szCs w:val="22"/>
                  <w:lang w:val="en-GB"/>
                </w:rPr>
                <w:t>acnc.gov.au/policies</w:t>
              </w:r>
            </w:hyperlink>
            <w:r w:rsidR="00BB2187" w:rsidRPr="008C1E72">
              <w:rPr>
                <w:rFonts w:cs="Calibri"/>
                <w:color w:val="1F497D" w:themeColor="text2"/>
                <w:szCs w:val="22"/>
                <w:lang w:val="en-GB"/>
              </w:rPr>
              <w:t xml:space="preserve">. Our regulatory approach is available at </w:t>
            </w:r>
            <w:hyperlink r:id="rId55" w:history="1">
              <w:r w:rsidR="00BB2187" w:rsidRPr="008C1E72">
                <w:rPr>
                  <w:rStyle w:val="Hyperlink"/>
                  <w:rFonts w:cs="Calibri"/>
                </w:rPr>
                <w:t>acnc.gov.au/regulatoryapproach</w:t>
              </w:r>
            </w:hyperlink>
            <w:r w:rsidR="00714F7E" w:rsidRPr="008C1E72">
              <w:rPr>
                <w:rStyle w:val="Hyperlink"/>
                <w:rFonts w:cs="Calibri"/>
              </w:rPr>
              <w:t>.</w:t>
            </w:r>
          </w:p>
          <w:p w14:paraId="6EE973E8" w14:textId="77777777" w:rsidR="00BB2187" w:rsidRPr="008C1E72" w:rsidRDefault="00245E4D" w:rsidP="00E10A4D">
            <w:pPr>
              <w:spacing w:before="120"/>
              <w:rPr>
                <w:rFonts w:cs="Calibri"/>
                <w:color w:val="1F497D" w:themeColor="text2"/>
                <w:szCs w:val="22"/>
                <w:lang w:val="en-GB"/>
              </w:rPr>
            </w:pPr>
            <w:r w:rsidRPr="008C1E72">
              <w:rPr>
                <w:rFonts w:cs="Calibri"/>
                <w:color w:val="1F497D" w:themeColor="text2"/>
                <w:szCs w:val="22"/>
                <w:lang w:val="en-GB"/>
              </w:rPr>
              <w:t>The following Commissioner’s Policy Statements were updated in 2017-18 to reflect current practice, and to provide greater clarity:</w:t>
            </w:r>
          </w:p>
          <w:p w14:paraId="0D108305" w14:textId="77777777" w:rsidR="00245E4D" w:rsidRPr="008C1E72" w:rsidRDefault="00245E4D" w:rsidP="00114AC9">
            <w:pPr>
              <w:pStyle w:val="ListParagraph"/>
              <w:numPr>
                <w:ilvl w:val="0"/>
                <w:numId w:val="19"/>
              </w:numPr>
              <w:spacing w:before="120"/>
              <w:contextualSpacing w:val="0"/>
              <w:rPr>
                <w:rFonts w:eastAsiaTheme="minorHAnsi" w:cs="Calibri"/>
                <w:color w:val="1F497D" w:themeColor="text2"/>
                <w:lang w:val="en-GB"/>
              </w:rPr>
            </w:pPr>
            <w:r w:rsidRPr="008C1E72">
              <w:rPr>
                <w:rFonts w:eastAsiaTheme="minorHAnsi" w:cs="Calibri"/>
                <w:color w:val="1F497D" w:themeColor="text2"/>
                <w:lang w:val="en-GB"/>
              </w:rPr>
              <w:lastRenderedPageBreak/>
              <w:t xml:space="preserve">Withholding or Removing Information from the ACNC Register </w:t>
            </w:r>
          </w:p>
          <w:p w14:paraId="4D7F147B" w14:textId="631DFD3B" w:rsidR="00245E4D" w:rsidRPr="008C1E72" w:rsidRDefault="008113BB" w:rsidP="00114AC9">
            <w:pPr>
              <w:pStyle w:val="ListParagraph"/>
              <w:numPr>
                <w:ilvl w:val="0"/>
                <w:numId w:val="19"/>
              </w:numPr>
              <w:spacing w:before="120"/>
              <w:contextualSpacing w:val="0"/>
              <w:rPr>
                <w:rFonts w:eastAsiaTheme="minorHAnsi" w:cs="Calibri"/>
                <w:color w:val="1F497D" w:themeColor="text2"/>
                <w:lang w:val="en-GB"/>
              </w:rPr>
            </w:pPr>
            <w:r w:rsidRPr="008C1E72">
              <w:rPr>
                <w:rFonts w:eastAsiaTheme="minorHAnsi" w:cs="Calibri"/>
                <w:color w:val="1F497D" w:themeColor="text2"/>
                <w:lang w:val="en-GB"/>
              </w:rPr>
              <w:t>Compliance and enforcement</w:t>
            </w:r>
          </w:p>
          <w:p w14:paraId="1F419F55" w14:textId="1088B52D" w:rsidR="006F0E71" w:rsidRPr="008C1E72" w:rsidRDefault="00760E04" w:rsidP="00114AC9">
            <w:pPr>
              <w:pStyle w:val="ListParagraph"/>
              <w:numPr>
                <w:ilvl w:val="0"/>
                <w:numId w:val="19"/>
              </w:numPr>
              <w:spacing w:before="120"/>
              <w:contextualSpacing w:val="0"/>
              <w:rPr>
                <w:rFonts w:eastAsiaTheme="minorHAnsi" w:cs="Calibri"/>
                <w:color w:val="1F497D" w:themeColor="text2"/>
                <w:lang w:val="en-GB"/>
              </w:rPr>
            </w:pPr>
            <w:r w:rsidRPr="008C1E72">
              <w:rPr>
                <w:rFonts w:eastAsiaTheme="minorHAnsi" w:cs="Calibri"/>
                <w:color w:val="1F497D" w:themeColor="text2"/>
                <w:lang w:val="en-GB"/>
              </w:rPr>
              <w:t>Group Reporting policy</w:t>
            </w:r>
          </w:p>
          <w:p w14:paraId="338A41E4" w14:textId="77777777" w:rsidR="00245E4D" w:rsidRPr="008C1E72" w:rsidRDefault="00245E4D" w:rsidP="00E10A4D">
            <w:pPr>
              <w:spacing w:before="120"/>
              <w:rPr>
                <w:rFonts w:cs="Calibri"/>
                <w:color w:val="1F497D" w:themeColor="text2"/>
                <w:szCs w:val="22"/>
                <w:lang w:val="en-GB"/>
              </w:rPr>
            </w:pPr>
            <w:r w:rsidRPr="008C1E72">
              <w:rPr>
                <w:rFonts w:cs="Calibri"/>
                <w:color w:val="1F497D" w:themeColor="text2"/>
                <w:szCs w:val="22"/>
                <w:lang w:val="en-GB"/>
              </w:rPr>
              <w:t xml:space="preserve">The ACNC also developed a </w:t>
            </w:r>
            <w:hyperlink r:id="rId56" w:history="1">
              <w:r w:rsidRPr="00D41F44">
                <w:rPr>
                  <w:rStyle w:val="Hyperlink"/>
                  <w:rFonts w:cs="Calibri"/>
                  <w:szCs w:val="22"/>
                  <w:lang w:val="en-GB"/>
                </w:rPr>
                <w:t>Commissioner’s Policy Statement</w:t>
              </w:r>
              <w:r w:rsidR="000177B3">
                <w:rPr>
                  <w:rStyle w:val="Hyperlink"/>
                  <w:rFonts w:cs="Calibri"/>
                  <w:szCs w:val="22"/>
                  <w:lang w:val="en-GB"/>
                </w:rPr>
                <w:t>:</w:t>
              </w:r>
              <w:r w:rsidRPr="00D41F44">
                <w:rPr>
                  <w:rStyle w:val="Hyperlink"/>
                  <w:rFonts w:cs="Calibri"/>
                  <w:szCs w:val="22"/>
                  <w:lang w:val="en-GB"/>
                </w:rPr>
                <w:t xml:space="preserve"> Financial</w:t>
              </w:r>
              <w:r w:rsidR="00D41F44" w:rsidRPr="00D41F44">
                <w:rPr>
                  <w:rStyle w:val="Hyperlink"/>
                  <w:rFonts w:cs="Calibri"/>
                  <w:szCs w:val="22"/>
                  <w:lang w:val="en-GB"/>
                </w:rPr>
                <w:t xml:space="preserve"> reporting</w:t>
              </w:r>
              <w:r w:rsidRPr="00D41F44">
                <w:rPr>
                  <w:rStyle w:val="Hyperlink"/>
                  <w:rFonts w:cs="Calibri"/>
                  <w:szCs w:val="22"/>
                  <w:lang w:val="en-GB"/>
                </w:rPr>
                <w:t xml:space="preserve"> scaffolding </w:t>
              </w:r>
              <w:r w:rsidR="00D41F44" w:rsidRPr="00D41F44">
                <w:rPr>
                  <w:rStyle w:val="Hyperlink"/>
                  <w:rFonts w:cs="Calibri"/>
                  <w:szCs w:val="22"/>
                  <w:lang w:val="en-GB"/>
                </w:rPr>
                <w:t>strategy</w:t>
              </w:r>
            </w:hyperlink>
            <w:r w:rsidRPr="008C1E72">
              <w:rPr>
                <w:rFonts w:cs="Calibri"/>
                <w:color w:val="1F497D" w:themeColor="text2"/>
                <w:szCs w:val="22"/>
                <w:lang w:val="en-GB"/>
              </w:rPr>
              <w:t xml:space="preserve">. It was created to outline the ACNC’s participation in ongoing dialogue about financial reporting by charities, in the context of the ACNC’s three </w:t>
            </w:r>
            <w:r w:rsidR="00714F7E" w:rsidRPr="008C1E72">
              <w:rPr>
                <w:rFonts w:cs="Calibri"/>
                <w:color w:val="1F497D" w:themeColor="text2"/>
                <w:szCs w:val="22"/>
                <w:lang w:val="en-GB"/>
              </w:rPr>
              <w:t>objects. The</w:t>
            </w:r>
            <w:r w:rsidRPr="008C1E72">
              <w:rPr>
                <w:rFonts w:cs="Calibri"/>
                <w:color w:val="1F497D" w:themeColor="text2"/>
                <w:szCs w:val="22"/>
                <w:lang w:val="en-GB"/>
              </w:rPr>
              <w:t xml:space="preserve"> policy describes the different components of the financial reporting process, how these elements scaffold together to inform any position that might be taken by the ACNC regarding financial reporting and ensures the ACNC takes a consistent position to drive a holistic response.</w:t>
            </w:r>
          </w:p>
          <w:p w14:paraId="5A0EA2A4" w14:textId="77777777" w:rsidR="00714F7E" w:rsidRPr="008C1E72" w:rsidRDefault="00714F7E" w:rsidP="00E10A4D">
            <w:pPr>
              <w:spacing w:before="120"/>
              <w:rPr>
                <w:rFonts w:cs="Calibri"/>
                <w:color w:val="1F497D" w:themeColor="text2"/>
                <w:szCs w:val="22"/>
                <w:lang w:val="en-GB"/>
              </w:rPr>
            </w:pPr>
            <w:r w:rsidRPr="008C1E72">
              <w:rPr>
                <w:rFonts w:cs="Calibri"/>
                <w:color w:val="1F497D" w:themeColor="text2"/>
                <w:szCs w:val="22"/>
                <w:lang w:val="en-GB"/>
              </w:rPr>
              <w:t xml:space="preserve">We also published a Commissioner’s Policy Statement on internal disputes, which explains how the ACNC will interpret and administer the regulatory powers given to the Commissioner by the ACNC Act in circumstances where the ACNC becomes aware of an internal dispute within a registered charity. </w:t>
            </w:r>
          </w:p>
          <w:p w14:paraId="7E824D1C" w14:textId="77777777" w:rsidR="00BB2187" w:rsidRPr="008C1E72" w:rsidRDefault="00245E4D" w:rsidP="00E10A4D">
            <w:pPr>
              <w:spacing w:before="120"/>
              <w:rPr>
                <w:rFonts w:cs="Calibri"/>
                <w:color w:val="1F497D" w:themeColor="text2"/>
                <w:szCs w:val="22"/>
                <w:lang w:val="en-GB"/>
              </w:rPr>
            </w:pPr>
            <w:r w:rsidRPr="008C1E72">
              <w:rPr>
                <w:rFonts w:cs="Calibri"/>
                <w:color w:val="1F497D" w:themeColor="text2"/>
                <w:szCs w:val="22"/>
                <w:lang w:val="en-GB"/>
              </w:rPr>
              <w:t xml:space="preserve">As a result of the </w:t>
            </w:r>
            <w:r w:rsidR="00714F7E" w:rsidRPr="008C1E72">
              <w:rPr>
                <w:rFonts w:cs="Calibri"/>
                <w:color w:val="1F497D" w:themeColor="text2"/>
                <w:szCs w:val="22"/>
                <w:lang w:val="en-GB"/>
              </w:rPr>
              <w:t xml:space="preserve">review into the ACNC’s compliance function, the following </w:t>
            </w:r>
            <w:r w:rsidR="00390CED" w:rsidRPr="008C1E72">
              <w:rPr>
                <w:rFonts w:cs="Calibri"/>
                <w:color w:val="1F497D" w:themeColor="text2"/>
                <w:szCs w:val="22"/>
                <w:lang w:val="en-GB"/>
              </w:rPr>
              <w:t>Operational Procedures</w:t>
            </w:r>
            <w:r w:rsidR="00714F7E" w:rsidRPr="008C1E72">
              <w:rPr>
                <w:rFonts w:cs="Calibri"/>
                <w:color w:val="1F497D" w:themeColor="text2"/>
                <w:szCs w:val="22"/>
                <w:lang w:val="en-GB"/>
              </w:rPr>
              <w:t xml:space="preserve"> were updated in October 2017</w:t>
            </w:r>
            <w:r w:rsidRPr="008C1E72">
              <w:rPr>
                <w:rFonts w:cs="Calibri"/>
                <w:color w:val="1F497D" w:themeColor="text2"/>
                <w:szCs w:val="22"/>
                <w:lang w:val="en-GB"/>
              </w:rPr>
              <w:t>:</w:t>
            </w:r>
          </w:p>
          <w:p w14:paraId="67D51BB6" w14:textId="77777777" w:rsidR="00714F7E" w:rsidRPr="008C1E72" w:rsidRDefault="00714F7E" w:rsidP="00114AC9">
            <w:pPr>
              <w:pStyle w:val="ListParagraph"/>
              <w:numPr>
                <w:ilvl w:val="0"/>
                <w:numId w:val="20"/>
              </w:numPr>
              <w:spacing w:before="120"/>
              <w:contextualSpacing w:val="0"/>
              <w:rPr>
                <w:rFonts w:eastAsiaTheme="minorHAnsi" w:cs="Calibri"/>
                <w:color w:val="1F497D" w:themeColor="text2"/>
                <w:lang w:val="en-GB"/>
              </w:rPr>
            </w:pPr>
            <w:r w:rsidRPr="008C1E72">
              <w:rPr>
                <w:rFonts w:eastAsiaTheme="minorHAnsi" w:cs="Calibri"/>
                <w:color w:val="1F497D" w:themeColor="text2"/>
                <w:lang w:val="en-GB"/>
              </w:rPr>
              <w:t>Information gathering powers</w:t>
            </w:r>
          </w:p>
          <w:p w14:paraId="75950EB9" w14:textId="77777777" w:rsidR="00714F7E" w:rsidRPr="008C1E72" w:rsidRDefault="00714F7E" w:rsidP="00114AC9">
            <w:pPr>
              <w:pStyle w:val="ListParagraph"/>
              <w:numPr>
                <w:ilvl w:val="0"/>
                <w:numId w:val="20"/>
              </w:numPr>
              <w:spacing w:before="120"/>
              <w:contextualSpacing w:val="0"/>
              <w:rPr>
                <w:rFonts w:eastAsiaTheme="minorHAnsi" w:cs="Calibri"/>
                <w:color w:val="1F497D" w:themeColor="text2"/>
                <w:lang w:val="en-GB"/>
              </w:rPr>
            </w:pPr>
            <w:r w:rsidRPr="008C1E72">
              <w:rPr>
                <w:rFonts w:eastAsiaTheme="minorHAnsi" w:cs="Calibri"/>
                <w:color w:val="1F497D" w:themeColor="text2"/>
                <w:lang w:val="en-GB"/>
              </w:rPr>
              <w:t>Referrals and information exchange</w:t>
            </w:r>
          </w:p>
          <w:p w14:paraId="7262C7D7" w14:textId="679B32AC" w:rsidR="00714F7E" w:rsidRPr="008C1E72" w:rsidRDefault="00714F7E" w:rsidP="00114AC9">
            <w:pPr>
              <w:pStyle w:val="ListParagraph"/>
              <w:numPr>
                <w:ilvl w:val="0"/>
                <w:numId w:val="20"/>
              </w:numPr>
              <w:spacing w:before="120"/>
              <w:contextualSpacing w:val="0"/>
              <w:rPr>
                <w:rFonts w:eastAsiaTheme="minorHAnsi" w:cs="Calibri"/>
                <w:color w:val="1F497D" w:themeColor="text2"/>
                <w:lang w:val="en-GB"/>
              </w:rPr>
            </w:pPr>
            <w:r w:rsidRPr="008C1E72">
              <w:rPr>
                <w:rFonts w:eastAsiaTheme="minorHAnsi" w:cs="Calibri"/>
                <w:color w:val="1F497D" w:themeColor="text2"/>
                <w:lang w:val="en-GB"/>
              </w:rPr>
              <w:t>Monitoring powers</w:t>
            </w:r>
          </w:p>
          <w:p w14:paraId="52996E07" w14:textId="77777777" w:rsidR="008F568B" w:rsidRPr="008C1E72" w:rsidRDefault="00245E4D" w:rsidP="00714F7E">
            <w:pPr>
              <w:spacing w:before="120"/>
              <w:rPr>
                <w:rFonts w:cs="Calibri"/>
                <w:color w:val="1F497D" w:themeColor="text2"/>
                <w:szCs w:val="22"/>
                <w:lang w:val="en-GB"/>
              </w:rPr>
            </w:pPr>
            <w:r w:rsidRPr="008C1E72">
              <w:rPr>
                <w:rFonts w:cs="Calibri"/>
                <w:color w:val="1F497D" w:themeColor="text2"/>
                <w:szCs w:val="22"/>
                <w:lang w:val="en-GB"/>
              </w:rPr>
              <w:t xml:space="preserve">The ACNC also updated our proof of identity operational </w:t>
            </w:r>
            <w:r w:rsidR="00310B5D" w:rsidRPr="008C1E72">
              <w:rPr>
                <w:rFonts w:cs="Calibri"/>
                <w:color w:val="1F497D" w:themeColor="text2"/>
                <w:szCs w:val="22"/>
                <w:lang w:val="en-GB"/>
              </w:rPr>
              <w:t>procedure and</w:t>
            </w:r>
            <w:r w:rsidRPr="008C1E72">
              <w:rPr>
                <w:rFonts w:cs="Calibri"/>
                <w:color w:val="1F497D" w:themeColor="text2"/>
                <w:szCs w:val="22"/>
                <w:lang w:val="en-GB"/>
              </w:rPr>
              <w:t xml:space="preserve"> added a new operational procedure about how ACNC staff can request advice from the ACNC’s legal area. </w:t>
            </w:r>
          </w:p>
        </w:tc>
      </w:tr>
      <w:tr w:rsidR="002E196A" w:rsidRPr="008C1E72" w14:paraId="6210A05D" w14:textId="77777777" w:rsidTr="00EC0921">
        <w:trPr>
          <w:trHeight w:val="849"/>
        </w:trPr>
        <w:tc>
          <w:tcPr>
            <w:tcW w:w="91" w:type="pct"/>
            <w:vMerge w:val="restart"/>
            <w:shd w:val="clear" w:color="auto" w:fill="D9D9D9" w:themeFill="background1" w:themeFillShade="D9"/>
            <w:vAlign w:val="center"/>
          </w:tcPr>
          <w:p w14:paraId="33245FD3" w14:textId="77777777" w:rsidR="002E196A" w:rsidRPr="008C1E72" w:rsidRDefault="002E196A" w:rsidP="0077552A">
            <w:pPr>
              <w:spacing w:after="0"/>
              <w:jc w:val="center"/>
              <w:rPr>
                <w:rFonts w:cs="Calibri"/>
                <w:b/>
                <w:szCs w:val="22"/>
                <w:lang w:val="en-GB"/>
              </w:rPr>
            </w:pPr>
            <w:r w:rsidRPr="008C1E72">
              <w:rPr>
                <w:rFonts w:cs="Calibri"/>
                <w:b/>
                <w:szCs w:val="22"/>
                <w:lang w:val="en-GB"/>
              </w:rPr>
              <w:lastRenderedPageBreak/>
              <w:t>C</w:t>
            </w:r>
          </w:p>
        </w:tc>
        <w:tc>
          <w:tcPr>
            <w:tcW w:w="623" w:type="pct"/>
            <w:gridSpan w:val="2"/>
            <w:vMerge w:val="restart"/>
            <w:vAlign w:val="center"/>
          </w:tcPr>
          <w:p w14:paraId="157CF473" w14:textId="77777777" w:rsidR="002E196A" w:rsidRPr="008C1E72" w:rsidRDefault="002E196A" w:rsidP="0077552A">
            <w:pPr>
              <w:spacing w:after="0"/>
              <w:rPr>
                <w:rFonts w:cs="Calibri"/>
                <w:szCs w:val="22"/>
                <w:lang w:val="en-GB"/>
              </w:rPr>
            </w:pPr>
            <w:r w:rsidRPr="008C1E72">
              <w:rPr>
                <w:rFonts w:cs="Calibri"/>
                <w:szCs w:val="22"/>
                <w:lang w:val="en-GB"/>
              </w:rPr>
              <w:t>Regulators implement continuous improvement strategies to reduce the costs of compliance for those they regulate.</w:t>
            </w:r>
          </w:p>
          <w:p w14:paraId="75BAAE99" w14:textId="77777777" w:rsidR="002E196A" w:rsidRPr="008C1E72" w:rsidRDefault="002E196A" w:rsidP="0077552A">
            <w:pPr>
              <w:spacing w:after="0"/>
              <w:rPr>
                <w:rFonts w:cs="Calibri"/>
                <w:szCs w:val="22"/>
                <w:lang w:val="en-GB"/>
              </w:rPr>
            </w:pPr>
          </w:p>
        </w:tc>
        <w:tc>
          <w:tcPr>
            <w:tcW w:w="132" w:type="pct"/>
            <w:gridSpan w:val="2"/>
            <w:shd w:val="clear" w:color="auto" w:fill="D9D9D9" w:themeFill="background1" w:themeFillShade="D9"/>
            <w:vAlign w:val="center"/>
          </w:tcPr>
          <w:p w14:paraId="15C92716" w14:textId="77777777" w:rsidR="002E196A" w:rsidRPr="008C1E72" w:rsidRDefault="002E196A" w:rsidP="0077552A">
            <w:pPr>
              <w:suppressAutoHyphens/>
              <w:jc w:val="center"/>
              <w:rPr>
                <w:rFonts w:cs="Calibri"/>
                <w:b/>
                <w:szCs w:val="22"/>
                <w:lang w:val="en-GB"/>
              </w:rPr>
            </w:pPr>
            <w:r w:rsidRPr="008C1E72">
              <w:rPr>
                <w:rFonts w:cs="Calibri"/>
                <w:b/>
                <w:szCs w:val="22"/>
                <w:lang w:val="en-GB"/>
              </w:rPr>
              <w:t>1.4</w:t>
            </w:r>
          </w:p>
        </w:tc>
        <w:tc>
          <w:tcPr>
            <w:tcW w:w="755" w:type="pct"/>
            <w:gridSpan w:val="3"/>
            <w:shd w:val="clear" w:color="auto" w:fill="auto"/>
            <w:vAlign w:val="center"/>
          </w:tcPr>
          <w:p w14:paraId="60ED2213" w14:textId="77777777" w:rsidR="002E196A" w:rsidRPr="008C1E72" w:rsidRDefault="002E196A" w:rsidP="0077552A">
            <w:pPr>
              <w:spacing w:after="0"/>
              <w:rPr>
                <w:rFonts w:cs="Calibri"/>
                <w:b/>
                <w:szCs w:val="22"/>
                <w:lang w:val="en-GB"/>
              </w:rPr>
            </w:pPr>
            <w:r w:rsidRPr="008C1E72">
              <w:rPr>
                <w:rFonts w:cs="Calibri"/>
                <w:b/>
                <w:szCs w:val="22"/>
                <w:lang w:val="en-GB"/>
              </w:rPr>
              <w:t>Documented processes for collecting and acting on feedback from charities</w:t>
            </w:r>
          </w:p>
        </w:tc>
        <w:tc>
          <w:tcPr>
            <w:tcW w:w="904" w:type="pct"/>
            <w:vAlign w:val="center"/>
          </w:tcPr>
          <w:p w14:paraId="04411DC1" w14:textId="77777777" w:rsidR="00BB2187" w:rsidRPr="008C1E72" w:rsidRDefault="00BB2187" w:rsidP="0077552A">
            <w:pPr>
              <w:spacing w:after="0"/>
              <w:rPr>
                <w:rFonts w:cs="Calibri"/>
                <w:color w:val="1F497D" w:themeColor="text2"/>
                <w:szCs w:val="22"/>
                <w:lang w:val="en-GB"/>
              </w:rPr>
            </w:pPr>
            <w:r w:rsidRPr="008C1E72">
              <w:rPr>
                <w:rFonts w:cs="Calibri"/>
                <w:color w:val="1F497D" w:themeColor="text2"/>
                <w:szCs w:val="22"/>
                <w:lang w:val="en-GB"/>
              </w:rPr>
              <w:t>Corporate policy -</w:t>
            </w:r>
            <w:r w:rsidRPr="008C1E72">
              <w:rPr>
                <w:rFonts w:cs="Calibri"/>
              </w:rPr>
              <w:t xml:space="preserve"> </w:t>
            </w:r>
            <w:r w:rsidRPr="008C1E72">
              <w:rPr>
                <w:rFonts w:cs="Calibri"/>
                <w:color w:val="1F497D" w:themeColor="text2"/>
                <w:szCs w:val="22"/>
                <w:lang w:val="en-GB"/>
              </w:rPr>
              <w:t>Complaints and compliments about the ACNC</w:t>
            </w:r>
          </w:p>
          <w:p w14:paraId="511F2956" w14:textId="77777777" w:rsidR="00BB2187" w:rsidRPr="008C1E72" w:rsidRDefault="00BB2187" w:rsidP="0077552A">
            <w:pPr>
              <w:spacing w:after="0"/>
              <w:rPr>
                <w:rFonts w:cs="Calibri"/>
              </w:rPr>
            </w:pPr>
          </w:p>
          <w:p w14:paraId="3381B93C" w14:textId="77777777" w:rsidR="00BB2187" w:rsidRPr="008C1E72" w:rsidRDefault="00BB2187" w:rsidP="0077552A">
            <w:pPr>
              <w:spacing w:after="0"/>
              <w:rPr>
                <w:rFonts w:cs="Calibri"/>
                <w:color w:val="1F497D" w:themeColor="text2"/>
                <w:szCs w:val="22"/>
                <w:lang w:val="en-GB"/>
              </w:rPr>
            </w:pPr>
            <w:r w:rsidRPr="008C1E72">
              <w:rPr>
                <w:rFonts w:cs="Calibri"/>
                <w:color w:val="1F497D" w:themeColor="text2"/>
                <w:szCs w:val="22"/>
                <w:lang w:val="en-GB"/>
              </w:rPr>
              <w:t>Operational Procedure – ACNC Complaints Procedure</w:t>
            </w:r>
          </w:p>
          <w:p w14:paraId="12AC0958" w14:textId="77777777" w:rsidR="00BB2187" w:rsidRPr="008C1E72" w:rsidRDefault="00BB2187" w:rsidP="0077552A">
            <w:pPr>
              <w:spacing w:after="0"/>
              <w:rPr>
                <w:rFonts w:cs="Calibri"/>
                <w:color w:val="1F497D" w:themeColor="text2"/>
                <w:szCs w:val="22"/>
                <w:lang w:val="en-GB"/>
              </w:rPr>
            </w:pPr>
          </w:p>
          <w:p w14:paraId="6CEF2093" w14:textId="77777777" w:rsidR="002E196A" w:rsidRPr="008C1E72" w:rsidRDefault="00BB2187" w:rsidP="0077552A">
            <w:pPr>
              <w:spacing w:after="0"/>
              <w:rPr>
                <w:rFonts w:cs="Calibri"/>
                <w:color w:val="1F497D" w:themeColor="text2"/>
                <w:szCs w:val="22"/>
                <w:lang w:val="en-GB"/>
              </w:rPr>
            </w:pPr>
            <w:r w:rsidRPr="008C1E72">
              <w:rPr>
                <w:rFonts w:cs="Calibri"/>
                <w:color w:val="1F497D" w:themeColor="text2"/>
                <w:szCs w:val="22"/>
                <w:lang w:val="en-GB"/>
              </w:rPr>
              <w:t>Stakeholder engagement strategy</w:t>
            </w:r>
          </w:p>
          <w:p w14:paraId="2CC19CAB" w14:textId="77777777" w:rsidR="00BB2187" w:rsidRPr="008C1E72" w:rsidRDefault="00BB2187" w:rsidP="0077552A">
            <w:pPr>
              <w:spacing w:after="0"/>
              <w:rPr>
                <w:rFonts w:cs="Calibri"/>
                <w:color w:val="1F497D" w:themeColor="text2"/>
                <w:szCs w:val="22"/>
                <w:lang w:val="en-GB"/>
              </w:rPr>
            </w:pPr>
          </w:p>
          <w:p w14:paraId="1AA409F1" w14:textId="77777777" w:rsidR="002E196A" w:rsidRPr="008C1E72" w:rsidRDefault="00BB2187" w:rsidP="0077552A">
            <w:pPr>
              <w:spacing w:after="0"/>
              <w:rPr>
                <w:rFonts w:cs="Calibri"/>
                <w:szCs w:val="22"/>
                <w:highlight w:val="yellow"/>
                <w:lang w:val="en-GB"/>
              </w:rPr>
            </w:pPr>
            <w:r w:rsidRPr="008C1E72">
              <w:rPr>
                <w:rFonts w:cs="Calibri"/>
                <w:color w:val="1F497D" w:themeColor="text2"/>
                <w:szCs w:val="22"/>
                <w:lang w:val="en-GB"/>
              </w:rPr>
              <w:t>All of these were available</w:t>
            </w:r>
            <w:r w:rsidR="002E196A" w:rsidRPr="008C1E72">
              <w:rPr>
                <w:rFonts w:cs="Calibri"/>
                <w:color w:val="1F497D" w:themeColor="text2"/>
                <w:szCs w:val="22"/>
                <w:lang w:val="en-GB"/>
              </w:rPr>
              <w:t xml:space="preserve"> on </w:t>
            </w:r>
            <w:r w:rsidR="005E7922" w:rsidRPr="008C1E72">
              <w:rPr>
                <w:rFonts w:cs="Calibri"/>
                <w:color w:val="1F497D" w:themeColor="text2"/>
                <w:szCs w:val="22"/>
                <w:lang w:val="en-GB"/>
              </w:rPr>
              <w:t>our website</w:t>
            </w:r>
            <w:r w:rsidR="002E196A" w:rsidRPr="008C1E72">
              <w:rPr>
                <w:rFonts w:cs="Calibri"/>
                <w:color w:val="1F497D" w:themeColor="text2"/>
                <w:szCs w:val="22"/>
                <w:lang w:val="en-GB"/>
              </w:rPr>
              <w:t xml:space="preserve"> throughout 201</w:t>
            </w:r>
            <w:r w:rsidR="00C7689E" w:rsidRPr="008C1E72">
              <w:rPr>
                <w:rFonts w:cs="Calibri"/>
                <w:color w:val="1F497D" w:themeColor="text2"/>
                <w:szCs w:val="22"/>
                <w:lang w:val="en-GB"/>
              </w:rPr>
              <w:t>7</w:t>
            </w:r>
            <w:r w:rsidR="002E196A" w:rsidRPr="008C1E72">
              <w:rPr>
                <w:rFonts w:cs="Calibri"/>
                <w:color w:val="1F497D" w:themeColor="text2"/>
                <w:szCs w:val="22"/>
                <w:lang w:val="en-GB"/>
              </w:rPr>
              <w:t>-1</w:t>
            </w:r>
            <w:r w:rsidR="00C7689E" w:rsidRPr="008C1E72">
              <w:rPr>
                <w:rFonts w:cs="Calibri"/>
                <w:color w:val="1F497D" w:themeColor="text2"/>
                <w:szCs w:val="22"/>
                <w:lang w:val="en-GB"/>
              </w:rPr>
              <w:t>8</w:t>
            </w:r>
            <w:r w:rsidR="002E196A" w:rsidRPr="008C1E72">
              <w:rPr>
                <w:rFonts w:cs="Calibri"/>
                <w:color w:val="1F497D" w:themeColor="text2"/>
                <w:szCs w:val="22"/>
                <w:lang w:val="en-GB"/>
              </w:rPr>
              <w:t>.</w:t>
            </w:r>
          </w:p>
        </w:tc>
        <w:tc>
          <w:tcPr>
            <w:tcW w:w="235" w:type="pct"/>
          </w:tcPr>
          <w:p w14:paraId="221E1069" w14:textId="77777777" w:rsidR="002E196A" w:rsidRPr="008C1E72" w:rsidRDefault="002E196A" w:rsidP="0077552A">
            <w:pPr>
              <w:spacing w:after="0"/>
              <w:jc w:val="center"/>
              <w:rPr>
                <w:rFonts w:cs="Calibri"/>
                <w:noProof/>
                <w:color w:val="1F497D" w:themeColor="text2"/>
                <w:szCs w:val="22"/>
                <w:highlight w:val="yellow"/>
                <w:lang w:eastAsia="en-AU"/>
              </w:rPr>
            </w:pPr>
          </w:p>
          <w:p w14:paraId="766845E9" w14:textId="77777777" w:rsidR="00F87508" w:rsidRPr="008C1E72" w:rsidRDefault="00F87508" w:rsidP="0077552A">
            <w:pPr>
              <w:spacing w:after="0"/>
              <w:jc w:val="center"/>
              <w:rPr>
                <w:rFonts w:cs="Calibri"/>
                <w:noProof/>
                <w:color w:val="1F497D" w:themeColor="text2"/>
                <w:szCs w:val="22"/>
                <w:highlight w:val="yellow"/>
                <w:lang w:eastAsia="en-AU"/>
              </w:rPr>
            </w:pPr>
          </w:p>
          <w:p w14:paraId="194EFD93" w14:textId="77777777" w:rsidR="00F87508" w:rsidRPr="008C1E72" w:rsidRDefault="00F87508" w:rsidP="0077552A">
            <w:pPr>
              <w:spacing w:after="0"/>
              <w:jc w:val="center"/>
              <w:rPr>
                <w:rFonts w:cs="Calibri"/>
                <w:noProof/>
                <w:color w:val="1F497D" w:themeColor="text2"/>
                <w:szCs w:val="22"/>
                <w:highlight w:val="yellow"/>
                <w:lang w:eastAsia="en-AU"/>
              </w:rPr>
            </w:pPr>
          </w:p>
          <w:p w14:paraId="0662A2AF" w14:textId="77777777" w:rsidR="00F87508" w:rsidRPr="008C1E72" w:rsidRDefault="00F87508" w:rsidP="0077552A">
            <w:pPr>
              <w:spacing w:after="0"/>
              <w:jc w:val="center"/>
              <w:rPr>
                <w:rFonts w:cs="Calibri"/>
                <w:noProof/>
                <w:color w:val="1F497D" w:themeColor="text2"/>
                <w:szCs w:val="22"/>
                <w:highlight w:val="yellow"/>
                <w:lang w:eastAsia="en-AU"/>
              </w:rPr>
            </w:pPr>
          </w:p>
          <w:p w14:paraId="1107C27C" w14:textId="77777777" w:rsidR="00F87508" w:rsidRPr="008C1E72" w:rsidRDefault="00F87508" w:rsidP="0077552A">
            <w:pPr>
              <w:spacing w:after="0"/>
              <w:jc w:val="center"/>
              <w:rPr>
                <w:rFonts w:cs="Calibri"/>
                <w:noProof/>
                <w:color w:val="1F497D" w:themeColor="text2"/>
                <w:szCs w:val="22"/>
                <w:highlight w:val="yellow"/>
                <w:lang w:eastAsia="en-AU"/>
              </w:rPr>
            </w:pPr>
          </w:p>
          <w:p w14:paraId="71BCB748" w14:textId="77777777" w:rsidR="00F87508" w:rsidRPr="008C1E72" w:rsidRDefault="00F87508" w:rsidP="0077552A">
            <w:pPr>
              <w:spacing w:after="0"/>
              <w:jc w:val="center"/>
              <w:rPr>
                <w:rFonts w:cs="Calibri"/>
                <w:noProof/>
                <w:color w:val="1F497D" w:themeColor="text2"/>
                <w:szCs w:val="22"/>
                <w:highlight w:val="yellow"/>
                <w:lang w:eastAsia="en-AU"/>
              </w:rPr>
            </w:pPr>
          </w:p>
          <w:p w14:paraId="6FD033BF" w14:textId="77777777" w:rsidR="002E196A" w:rsidRPr="008C1E72" w:rsidRDefault="002E196A" w:rsidP="0077552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1E1F2990" wp14:editId="2C8A3A47">
                  <wp:extent cx="201295" cy="213360"/>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vAlign w:val="center"/>
          </w:tcPr>
          <w:p w14:paraId="215E2A7D" w14:textId="77777777" w:rsidR="002E196A" w:rsidRPr="008C1E72" w:rsidRDefault="00714F7E" w:rsidP="008963E0">
            <w:pPr>
              <w:keepNext/>
              <w:keepLines/>
              <w:spacing w:before="120"/>
              <w:outlineLvl w:val="4"/>
              <w:rPr>
                <w:rFonts w:cs="Calibri"/>
                <w:color w:val="1F497D" w:themeColor="text2"/>
                <w:szCs w:val="22"/>
                <w:lang w:val="en-GB"/>
              </w:rPr>
            </w:pPr>
            <w:r w:rsidRPr="008C1E72">
              <w:rPr>
                <w:rFonts w:cs="Calibri"/>
                <w:color w:val="1F497D" w:themeColor="text2"/>
                <w:szCs w:val="22"/>
                <w:lang w:val="en-GB"/>
              </w:rPr>
              <w:t>The ACNC has published a policy and procedure on how we deal with complements and complaints about the ACNC.</w:t>
            </w:r>
          </w:p>
          <w:p w14:paraId="3490B9E1" w14:textId="47F3DA95" w:rsidR="002E196A" w:rsidRPr="008C1E72" w:rsidRDefault="002E196A" w:rsidP="00714F7E">
            <w:pPr>
              <w:keepNext/>
              <w:keepLines/>
              <w:spacing w:before="120"/>
              <w:outlineLvl w:val="4"/>
              <w:rPr>
                <w:rFonts w:cs="Calibri"/>
                <w:color w:val="1F497D" w:themeColor="text2"/>
                <w:szCs w:val="22"/>
                <w:lang w:val="en-GB"/>
              </w:rPr>
            </w:pPr>
            <w:r w:rsidRPr="008C1E72">
              <w:rPr>
                <w:rFonts w:cs="Calibri"/>
                <w:color w:val="1F497D" w:themeColor="text2"/>
                <w:szCs w:val="22"/>
                <w:lang w:val="en-GB"/>
              </w:rPr>
              <w:t xml:space="preserve">Advice </w:t>
            </w:r>
            <w:r w:rsidR="00D41F44">
              <w:rPr>
                <w:rFonts w:cs="Calibri"/>
                <w:color w:val="1F497D" w:themeColor="text2"/>
                <w:szCs w:val="22"/>
                <w:lang w:val="en-GB"/>
              </w:rPr>
              <w:t>S</w:t>
            </w:r>
            <w:r w:rsidR="00D41F44" w:rsidRPr="008C1E72">
              <w:rPr>
                <w:rFonts w:cs="Calibri"/>
                <w:color w:val="1F497D" w:themeColor="text2"/>
                <w:szCs w:val="22"/>
                <w:lang w:val="en-GB"/>
              </w:rPr>
              <w:t xml:space="preserve">ervices </w:t>
            </w:r>
            <w:r w:rsidR="00714F7E" w:rsidRPr="008C1E72">
              <w:rPr>
                <w:rFonts w:cs="Calibri"/>
                <w:color w:val="1F497D" w:themeColor="text2"/>
                <w:szCs w:val="22"/>
                <w:lang w:val="en-GB"/>
              </w:rPr>
              <w:t xml:space="preserve">staff </w:t>
            </w:r>
            <w:r w:rsidRPr="008C1E72">
              <w:rPr>
                <w:rFonts w:cs="Calibri"/>
                <w:color w:val="1F497D" w:themeColor="text2"/>
                <w:szCs w:val="22"/>
                <w:lang w:val="en-GB"/>
              </w:rPr>
              <w:t xml:space="preserve">analyse customer enquiries to identify trends/areas for improvement in service delivery, development of educational materials and strategies, </w:t>
            </w:r>
            <w:r w:rsidR="00D41F44">
              <w:rPr>
                <w:rFonts w:cs="Calibri"/>
                <w:color w:val="1F497D" w:themeColor="text2"/>
                <w:szCs w:val="22"/>
                <w:lang w:val="en-GB"/>
              </w:rPr>
              <w:t xml:space="preserve">and </w:t>
            </w:r>
            <w:r w:rsidRPr="008C1E72">
              <w:rPr>
                <w:rFonts w:cs="Calibri"/>
                <w:color w:val="1F497D" w:themeColor="text2"/>
                <w:szCs w:val="22"/>
                <w:lang w:val="en-GB"/>
              </w:rPr>
              <w:t>process and system improvements.</w:t>
            </w:r>
          </w:p>
          <w:p w14:paraId="2F37B69E" w14:textId="711567C2" w:rsidR="002E196A" w:rsidRPr="008C1E72" w:rsidRDefault="002E196A" w:rsidP="00714F7E">
            <w:pPr>
              <w:spacing w:before="120"/>
              <w:rPr>
                <w:rFonts w:cs="Calibri"/>
                <w:color w:val="1F497D" w:themeColor="text2"/>
                <w:szCs w:val="22"/>
                <w:lang w:val="en-GB"/>
              </w:rPr>
            </w:pPr>
            <w:r w:rsidRPr="008C1E72">
              <w:rPr>
                <w:rFonts w:cs="Calibri"/>
                <w:color w:val="1F497D" w:themeColor="text2"/>
                <w:szCs w:val="22"/>
                <w:lang w:val="en-GB"/>
              </w:rPr>
              <w:t>In 201</w:t>
            </w:r>
            <w:r w:rsidR="00BB2187" w:rsidRPr="008C1E72">
              <w:rPr>
                <w:rFonts w:cs="Calibri"/>
                <w:color w:val="1F497D" w:themeColor="text2"/>
                <w:szCs w:val="22"/>
                <w:lang w:val="en-GB"/>
              </w:rPr>
              <w:t>7</w:t>
            </w:r>
            <w:r w:rsidRPr="008C1E72">
              <w:rPr>
                <w:rFonts w:cs="Calibri"/>
                <w:color w:val="1F497D" w:themeColor="text2"/>
                <w:szCs w:val="22"/>
                <w:lang w:val="en-GB"/>
              </w:rPr>
              <w:t>-1</w:t>
            </w:r>
            <w:r w:rsidR="00BB2187" w:rsidRPr="008C1E72">
              <w:rPr>
                <w:rFonts w:cs="Calibri"/>
                <w:color w:val="1F497D" w:themeColor="text2"/>
                <w:szCs w:val="22"/>
                <w:lang w:val="en-GB"/>
              </w:rPr>
              <w:t>8</w:t>
            </w:r>
            <w:r w:rsidRPr="008C1E72">
              <w:rPr>
                <w:rFonts w:cs="Calibri"/>
                <w:color w:val="1F497D" w:themeColor="text2"/>
                <w:szCs w:val="22"/>
                <w:lang w:val="en-GB"/>
              </w:rPr>
              <w:t xml:space="preserve">, we received </w:t>
            </w:r>
            <w:r w:rsidR="00BB2187" w:rsidRPr="008C1E72">
              <w:rPr>
                <w:rFonts w:cs="Calibri"/>
                <w:color w:val="1F497D" w:themeColor="text2"/>
                <w:szCs w:val="22"/>
                <w:lang w:val="en-GB"/>
              </w:rPr>
              <w:t xml:space="preserve">1,202 complaints about the ACNC, a significant increase on the </w:t>
            </w:r>
            <w:r w:rsidRPr="008C1E72">
              <w:rPr>
                <w:rFonts w:cs="Calibri"/>
                <w:color w:val="1F497D" w:themeColor="text2"/>
                <w:szCs w:val="22"/>
                <w:lang w:val="en-GB"/>
              </w:rPr>
              <w:t xml:space="preserve">182 complaints </w:t>
            </w:r>
            <w:r w:rsidR="00BB2187" w:rsidRPr="008C1E72">
              <w:rPr>
                <w:rFonts w:cs="Calibri"/>
                <w:color w:val="1F497D" w:themeColor="text2"/>
                <w:szCs w:val="22"/>
                <w:lang w:val="en-GB"/>
              </w:rPr>
              <w:t xml:space="preserve">received in 2016-17. </w:t>
            </w:r>
            <w:r w:rsidR="002E4EDE" w:rsidRPr="008C1E72">
              <w:rPr>
                <w:rFonts w:cs="Calibri"/>
              </w:rPr>
              <w:t xml:space="preserve"> </w:t>
            </w:r>
            <w:r w:rsidR="007848EB" w:rsidRPr="008C1E72">
              <w:rPr>
                <w:rFonts w:cs="Calibri"/>
                <w:color w:val="1F497D" w:themeColor="text2"/>
                <w:szCs w:val="22"/>
                <w:lang w:val="en-GB"/>
              </w:rPr>
              <w:t>Over 90 per cent</w:t>
            </w:r>
            <w:r w:rsidR="002E4EDE" w:rsidRPr="008C1E72">
              <w:rPr>
                <w:rFonts w:cs="Calibri"/>
                <w:color w:val="1F497D" w:themeColor="text2"/>
                <w:szCs w:val="22"/>
                <w:lang w:val="en-GB"/>
              </w:rPr>
              <w:t xml:space="preserve"> of complaints related to IT issues which affected our website and Charity Portal. The ACNC received funding in the 201</w:t>
            </w:r>
            <w:r w:rsidR="00DE196B" w:rsidRPr="008C1E72">
              <w:rPr>
                <w:rFonts w:cs="Calibri"/>
                <w:color w:val="1F497D" w:themeColor="text2"/>
                <w:szCs w:val="22"/>
                <w:lang w:val="en-GB"/>
              </w:rPr>
              <w:t>7</w:t>
            </w:r>
            <w:r w:rsidR="002E4EDE" w:rsidRPr="008C1E72">
              <w:rPr>
                <w:rFonts w:cs="Calibri"/>
                <w:color w:val="1F497D" w:themeColor="text2"/>
                <w:szCs w:val="22"/>
                <w:lang w:val="en-GB"/>
              </w:rPr>
              <w:t xml:space="preserve"> Federal Budget to replace our existing IT systems. This work has progressed rapidly, and charities will notice a significant improvement in the ACNC’s website</w:t>
            </w:r>
            <w:r w:rsidR="00D41F44">
              <w:rPr>
                <w:rFonts w:cs="Calibri"/>
                <w:color w:val="1F497D" w:themeColor="text2"/>
                <w:szCs w:val="22"/>
                <w:lang w:val="en-GB"/>
              </w:rPr>
              <w:t>, Charity Register</w:t>
            </w:r>
            <w:r w:rsidR="002E4EDE" w:rsidRPr="008C1E72">
              <w:rPr>
                <w:rFonts w:cs="Calibri"/>
                <w:color w:val="1F497D" w:themeColor="text2"/>
                <w:szCs w:val="22"/>
                <w:lang w:val="en-GB"/>
              </w:rPr>
              <w:t xml:space="preserve"> and Charity Portal</w:t>
            </w:r>
            <w:r w:rsidR="00D41F44">
              <w:rPr>
                <w:rFonts w:cs="Calibri"/>
                <w:color w:val="1F497D" w:themeColor="text2"/>
                <w:szCs w:val="22"/>
                <w:lang w:val="en-GB"/>
              </w:rPr>
              <w:t xml:space="preserve"> from its relaunch in September 2018</w:t>
            </w:r>
            <w:r w:rsidR="002E4EDE" w:rsidRPr="008C1E72">
              <w:rPr>
                <w:rFonts w:cs="Calibri"/>
                <w:color w:val="1F497D" w:themeColor="text2"/>
                <w:szCs w:val="22"/>
                <w:lang w:val="en-GB"/>
              </w:rPr>
              <w:t>.</w:t>
            </w:r>
          </w:p>
          <w:p w14:paraId="0765A8FD" w14:textId="77777777" w:rsidR="002E196A" w:rsidRPr="008C1E72" w:rsidRDefault="00BB2187" w:rsidP="00714F7E">
            <w:pPr>
              <w:spacing w:before="120"/>
              <w:rPr>
                <w:rFonts w:cs="Calibri"/>
                <w:color w:val="1F497D" w:themeColor="text2"/>
                <w:szCs w:val="22"/>
                <w:highlight w:val="yellow"/>
                <w:lang w:val="en-GB"/>
              </w:rPr>
            </w:pPr>
            <w:r w:rsidRPr="008C1E72">
              <w:rPr>
                <w:rFonts w:cs="Calibri"/>
                <w:color w:val="1F497D" w:themeColor="text2"/>
                <w:szCs w:val="22"/>
                <w:lang w:val="en-GB"/>
              </w:rPr>
              <w:t xml:space="preserve">We received 244 compliments, the same as in 2016-17. Over 85 per cent of our compliments related to a positive customer service experience. </w:t>
            </w:r>
          </w:p>
        </w:tc>
      </w:tr>
      <w:tr w:rsidR="002E196A" w:rsidRPr="008C1E72" w14:paraId="6A7A5DEB" w14:textId="77777777" w:rsidTr="00EC0921">
        <w:trPr>
          <w:trHeight w:val="880"/>
        </w:trPr>
        <w:tc>
          <w:tcPr>
            <w:tcW w:w="91" w:type="pct"/>
            <w:vMerge/>
            <w:shd w:val="clear" w:color="auto" w:fill="D9D9D9" w:themeFill="background1" w:themeFillShade="D9"/>
            <w:vAlign w:val="center"/>
          </w:tcPr>
          <w:p w14:paraId="32E5014D" w14:textId="77777777" w:rsidR="002E196A" w:rsidRPr="008C1E72" w:rsidRDefault="002E196A" w:rsidP="0077552A">
            <w:pPr>
              <w:spacing w:after="0"/>
              <w:jc w:val="center"/>
              <w:rPr>
                <w:rFonts w:cs="Calibri"/>
                <w:b/>
                <w:color w:val="1F497D" w:themeColor="text2"/>
                <w:szCs w:val="22"/>
                <w:lang w:val="en-GB"/>
              </w:rPr>
            </w:pPr>
          </w:p>
        </w:tc>
        <w:tc>
          <w:tcPr>
            <w:tcW w:w="623" w:type="pct"/>
            <w:gridSpan w:val="2"/>
            <w:vMerge/>
            <w:vAlign w:val="center"/>
          </w:tcPr>
          <w:p w14:paraId="166FC7EF" w14:textId="77777777" w:rsidR="002E196A" w:rsidRPr="008C1E72" w:rsidRDefault="002E196A" w:rsidP="0077552A">
            <w:pPr>
              <w:spacing w:after="0"/>
              <w:rPr>
                <w:rFonts w:cs="Calibri"/>
                <w:color w:val="1F497D" w:themeColor="text2"/>
                <w:szCs w:val="22"/>
                <w:lang w:val="en-GB"/>
              </w:rPr>
            </w:pPr>
          </w:p>
        </w:tc>
        <w:tc>
          <w:tcPr>
            <w:tcW w:w="132" w:type="pct"/>
            <w:gridSpan w:val="2"/>
            <w:shd w:val="clear" w:color="auto" w:fill="D9D9D9" w:themeFill="background1" w:themeFillShade="D9"/>
            <w:vAlign w:val="center"/>
          </w:tcPr>
          <w:p w14:paraId="5955D0F2" w14:textId="77777777" w:rsidR="002E196A" w:rsidRPr="008C1E72" w:rsidRDefault="002E196A" w:rsidP="0077552A">
            <w:pPr>
              <w:suppressAutoHyphens/>
              <w:jc w:val="center"/>
              <w:rPr>
                <w:rFonts w:cs="Calibri"/>
                <w:b/>
                <w:szCs w:val="22"/>
                <w:lang w:val="en-GB"/>
              </w:rPr>
            </w:pPr>
            <w:r w:rsidRPr="008C1E72">
              <w:rPr>
                <w:rFonts w:cs="Calibri"/>
                <w:b/>
                <w:szCs w:val="22"/>
                <w:lang w:val="en-GB"/>
              </w:rPr>
              <w:t>1.5</w:t>
            </w:r>
          </w:p>
        </w:tc>
        <w:tc>
          <w:tcPr>
            <w:tcW w:w="755" w:type="pct"/>
            <w:gridSpan w:val="3"/>
            <w:shd w:val="clear" w:color="auto" w:fill="auto"/>
            <w:vAlign w:val="center"/>
          </w:tcPr>
          <w:p w14:paraId="4C3DCBCD" w14:textId="77777777" w:rsidR="002E196A" w:rsidRPr="008C1E72" w:rsidRDefault="002E196A" w:rsidP="0077552A">
            <w:pPr>
              <w:spacing w:after="0"/>
              <w:rPr>
                <w:rFonts w:cs="Calibri"/>
                <w:b/>
                <w:szCs w:val="22"/>
                <w:lang w:val="en-GB"/>
              </w:rPr>
            </w:pPr>
            <w:r w:rsidRPr="008C1E72">
              <w:rPr>
                <w:rFonts w:cs="Calibri"/>
                <w:b/>
                <w:szCs w:val="22"/>
                <w:lang w:val="en-GB"/>
              </w:rPr>
              <w:t>The online Annual Information Statement reporting includes opportunity for charities to provide feedback</w:t>
            </w:r>
          </w:p>
        </w:tc>
        <w:tc>
          <w:tcPr>
            <w:tcW w:w="904" w:type="pct"/>
            <w:vAlign w:val="center"/>
          </w:tcPr>
          <w:p w14:paraId="79C042EC" w14:textId="77777777" w:rsidR="002E196A" w:rsidRPr="008C1E72" w:rsidRDefault="00BB2187" w:rsidP="0077552A">
            <w:pPr>
              <w:spacing w:after="0"/>
              <w:rPr>
                <w:rFonts w:cs="Calibri"/>
                <w:szCs w:val="22"/>
                <w:lang w:val="en-GB"/>
              </w:rPr>
            </w:pPr>
            <w:r w:rsidRPr="008C1E72">
              <w:rPr>
                <w:rFonts w:cs="Calibri"/>
                <w:color w:val="1F497D" w:themeColor="text2"/>
                <w:szCs w:val="22"/>
                <w:lang w:val="en-GB"/>
              </w:rPr>
              <w:t xml:space="preserve">Online survey available </w:t>
            </w:r>
            <w:r w:rsidR="000C47AB" w:rsidRPr="008C1E72">
              <w:rPr>
                <w:rFonts w:cs="Calibri"/>
                <w:color w:val="1F497D" w:themeColor="text2"/>
                <w:szCs w:val="22"/>
                <w:lang w:val="en-GB"/>
              </w:rPr>
              <w:t>throughout 2017-18</w:t>
            </w:r>
          </w:p>
        </w:tc>
        <w:tc>
          <w:tcPr>
            <w:tcW w:w="235" w:type="pct"/>
          </w:tcPr>
          <w:p w14:paraId="5FD45490" w14:textId="77777777" w:rsidR="002E196A" w:rsidRPr="008C1E72" w:rsidRDefault="002E196A" w:rsidP="0077552A">
            <w:pPr>
              <w:spacing w:after="0"/>
              <w:jc w:val="center"/>
              <w:rPr>
                <w:rFonts w:cs="Calibri"/>
                <w:noProof/>
                <w:color w:val="1F497D" w:themeColor="text2"/>
                <w:szCs w:val="22"/>
                <w:lang w:eastAsia="en-AU"/>
              </w:rPr>
            </w:pPr>
          </w:p>
          <w:p w14:paraId="6FBD09D4" w14:textId="77777777" w:rsidR="00F87508" w:rsidRPr="008C1E72" w:rsidRDefault="00F87508" w:rsidP="0077552A">
            <w:pPr>
              <w:spacing w:after="0"/>
              <w:jc w:val="center"/>
              <w:rPr>
                <w:rFonts w:cs="Calibri"/>
                <w:noProof/>
                <w:color w:val="1F497D" w:themeColor="text2"/>
                <w:szCs w:val="22"/>
                <w:lang w:eastAsia="en-AU"/>
              </w:rPr>
            </w:pPr>
          </w:p>
          <w:p w14:paraId="422EEAF9" w14:textId="77777777" w:rsidR="002E196A" w:rsidRPr="008C1E72" w:rsidRDefault="002E196A" w:rsidP="00F87508">
            <w:pPr>
              <w:spacing w:after="0"/>
              <w:jc w:val="center"/>
              <w:rPr>
                <w:rFonts w:cs="Calibri"/>
                <w:noProof/>
                <w:color w:val="1F497D" w:themeColor="text2"/>
                <w:szCs w:val="22"/>
                <w:lang w:eastAsia="en-AU"/>
              </w:rPr>
            </w:pPr>
            <w:r w:rsidRPr="008C1E72">
              <w:rPr>
                <w:rFonts w:cs="Calibri"/>
                <w:noProof/>
                <w:color w:val="1F497D" w:themeColor="text2"/>
                <w:szCs w:val="22"/>
                <w:lang w:eastAsia="en-AU"/>
              </w:rPr>
              <w:drawing>
                <wp:inline distT="0" distB="0" distL="0" distR="0" wp14:anchorId="4DEA7BC7" wp14:editId="379B4DCC">
                  <wp:extent cx="201295" cy="21336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vAlign w:val="center"/>
          </w:tcPr>
          <w:p w14:paraId="1CF92E19" w14:textId="77777777" w:rsidR="00D65DF6" w:rsidRPr="008C1E72" w:rsidRDefault="00D65DF6" w:rsidP="00D65DF6">
            <w:pPr>
              <w:spacing w:before="120"/>
              <w:rPr>
                <w:rFonts w:cs="Calibri"/>
                <w:color w:val="1F497D" w:themeColor="text2"/>
                <w:szCs w:val="22"/>
                <w:lang w:val="en-GB"/>
              </w:rPr>
            </w:pPr>
            <w:r w:rsidRPr="008C1E72">
              <w:rPr>
                <w:rFonts w:cs="Calibri"/>
                <w:color w:val="1F497D" w:themeColor="text2"/>
                <w:szCs w:val="22"/>
                <w:lang w:val="en-GB"/>
              </w:rPr>
              <w:t>The ACNC has published an online survey which allows charities and authorised persons to provide feedback on the 2017 Annual Information Statement.</w:t>
            </w:r>
          </w:p>
          <w:p w14:paraId="1E6A2E2E" w14:textId="77777777" w:rsidR="002E196A" w:rsidRPr="008C1E72" w:rsidRDefault="00D65DF6" w:rsidP="005F4178">
            <w:pPr>
              <w:spacing w:before="120"/>
              <w:rPr>
                <w:rFonts w:cs="Calibri"/>
              </w:rPr>
            </w:pPr>
            <w:r w:rsidRPr="008C1E72">
              <w:rPr>
                <w:rFonts w:cs="Calibri"/>
                <w:color w:val="1F497D" w:themeColor="text2"/>
                <w:szCs w:val="22"/>
                <w:lang w:val="en-GB"/>
              </w:rPr>
              <w:t>As at 30 June 2018, there were over 900 responses, and the ACNC has used this feedback to improve the 2018 Annual Information Statement, which will be simpler and easier to submit. This will make it easier for charities to meet their reporting obligations.</w:t>
            </w:r>
          </w:p>
        </w:tc>
      </w:tr>
      <w:tr w:rsidR="002E196A" w:rsidRPr="008C1E72" w14:paraId="60A077A2" w14:textId="77777777" w:rsidTr="00EC0921">
        <w:trPr>
          <w:trHeight w:val="692"/>
        </w:trPr>
        <w:tc>
          <w:tcPr>
            <w:tcW w:w="91" w:type="pct"/>
            <w:vMerge/>
            <w:shd w:val="clear" w:color="auto" w:fill="D9D9D9" w:themeFill="background1" w:themeFillShade="D9"/>
            <w:vAlign w:val="center"/>
          </w:tcPr>
          <w:p w14:paraId="7371FDF3" w14:textId="77777777" w:rsidR="002E196A" w:rsidRPr="008C1E72" w:rsidRDefault="002E196A" w:rsidP="0077552A">
            <w:pPr>
              <w:spacing w:after="0"/>
              <w:jc w:val="center"/>
              <w:rPr>
                <w:rFonts w:cs="Calibri"/>
                <w:b/>
                <w:color w:val="1F497D" w:themeColor="text2"/>
                <w:szCs w:val="22"/>
                <w:lang w:val="en-GB"/>
              </w:rPr>
            </w:pPr>
          </w:p>
        </w:tc>
        <w:tc>
          <w:tcPr>
            <w:tcW w:w="623" w:type="pct"/>
            <w:gridSpan w:val="2"/>
            <w:vMerge/>
            <w:vAlign w:val="center"/>
          </w:tcPr>
          <w:p w14:paraId="77283D99" w14:textId="77777777" w:rsidR="002E196A" w:rsidRPr="008C1E72" w:rsidRDefault="002E196A" w:rsidP="0077552A">
            <w:pPr>
              <w:spacing w:after="0"/>
              <w:rPr>
                <w:rFonts w:cs="Calibri"/>
                <w:color w:val="1F497D" w:themeColor="text2"/>
                <w:szCs w:val="22"/>
                <w:lang w:val="en-GB"/>
              </w:rPr>
            </w:pPr>
          </w:p>
        </w:tc>
        <w:tc>
          <w:tcPr>
            <w:tcW w:w="132" w:type="pct"/>
            <w:gridSpan w:val="2"/>
            <w:shd w:val="clear" w:color="auto" w:fill="D9D9D9" w:themeFill="background1" w:themeFillShade="D9"/>
            <w:vAlign w:val="center"/>
          </w:tcPr>
          <w:p w14:paraId="5DD00D31" w14:textId="77777777" w:rsidR="002E196A" w:rsidRPr="008C1E72" w:rsidRDefault="002E196A" w:rsidP="0077552A">
            <w:pPr>
              <w:suppressAutoHyphens/>
              <w:jc w:val="center"/>
              <w:rPr>
                <w:rFonts w:cs="Calibri"/>
                <w:b/>
                <w:szCs w:val="22"/>
                <w:lang w:val="en-GB"/>
              </w:rPr>
            </w:pPr>
            <w:r w:rsidRPr="008C1E72">
              <w:rPr>
                <w:rFonts w:cs="Calibri"/>
                <w:b/>
                <w:szCs w:val="22"/>
                <w:lang w:val="en-GB"/>
              </w:rPr>
              <w:t>1.6</w:t>
            </w:r>
          </w:p>
        </w:tc>
        <w:tc>
          <w:tcPr>
            <w:tcW w:w="755" w:type="pct"/>
            <w:gridSpan w:val="3"/>
            <w:shd w:val="clear" w:color="auto" w:fill="auto"/>
            <w:vAlign w:val="center"/>
          </w:tcPr>
          <w:p w14:paraId="1196FF53" w14:textId="77777777" w:rsidR="002E196A" w:rsidRPr="008C1E72" w:rsidRDefault="002E196A" w:rsidP="0077552A">
            <w:pPr>
              <w:spacing w:after="0"/>
              <w:rPr>
                <w:rFonts w:cs="Calibri"/>
                <w:b/>
                <w:szCs w:val="22"/>
                <w:lang w:val="en-GB"/>
              </w:rPr>
            </w:pPr>
            <w:r w:rsidRPr="008C1E72">
              <w:rPr>
                <w:rFonts w:cs="Calibri"/>
                <w:b/>
                <w:szCs w:val="22"/>
                <w:lang w:val="en-GB"/>
              </w:rPr>
              <w:t xml:space="preserve">The registration process includes opportunities for charities to provide feedback </w:t>
            </w:r>
          </w:p>
        </w:tc>
        <w:tc>
          <w:tcPr>
            <w:tcW w:w="904" w:type="pct"/>
            <w:vAlign w:val="center"/>
          </w:tcPr>
          <w:p w14:paraId="68CDC38E" w14:textId="77777777" w:rsidR="002E196A" w:rsidRPr="008C1E72" w:rsidRDefault="000C47AB" w:rsidP="0077552A">
            <w:pPr>
              <w:spacing w:after="0"/>
              <w:rPr>
                <w:rFonts w:cs="Calibri"/>
                <w:szCs w:val="22"/>
                <w:highlight w:val="yellow"/>
                <w:lang w:val="en-GB"/>
              </w:rPr>
            </w:pPr>
            <w:r w:rsidRPr="008C1E72">
              <w:rPr>
                <w:rFonts w:cs="Calibri"/>
                <w:color w:val="1F497D" w:themeColor="text2"/>
                <w:szCs w:val="22"/>
                <w:lang w:val="en-GB"/>
              </w:rPr>
              <w:t>Online survey available throughout 2017-18</w:t>
            </w:r>
          </w:p>
        </w:tc>
        <w:tc>
          <w:tcPr>
            <w:tcW w:w="235" w:type="pct"/>
          </w:tcPr>
          <w:p w14:paraId="38D40577" w14:textId="77777777" w:rsidR="002E196A" w:rsidRPr="008C1E72" w:rsidRDefault="002E196A" w:rsidP="0077552A">
            <w:pPr>
              <w:spacing w:after="0"/>
              <w:jc w:val="center"/>
              <w:rPr>
                <w:rFonts w:cs="Calibri"/>
                <w:noProof/>
                <w:color w:val="1F497D" w:themeColor="text2"/>
                <w:szCs w:val="22"/>
                <w:highlight w:val="yellow"/>
                <w:lang w:eastAsia="en-AU"/>
              </w:rPr>
            </w:pPr>
          </w:p>
          <w:p w14:paraId="38E268C4" w14:textId="77777777" w:rsidR="00F87508" w:rsidRPr="008C1E72" w:rsidRDefault="00F87508" w:rsidP="0077552A">
            <w:pPr>
              <w:spacing w:after="0"/>
              <w:jc w:val="center"/>
              <w:rPr>
                <w:rFonts w:cs="Calibri"/>
                <w:noProof/>
                <w:color w:val="1F497D" w:themeColor="text2"/>
                <w:szCs w:val="22"/>
                <w:lang w:eastAsia="en-AU"/>
              </w:rPr>
            </w:pPr>
          </w:p>
          <w:p w14:paraId="60DA0C6E" w14:textId="77777777" w:rsidR="002E196A" w:rsidRPr="008C1E72" w:rsidRDefault="002E196A" w:rsidP="00F87508">
            <w:pPr>
              <w:spacing w:after="0"/>
              <w:jc w:val="center"/>
              <w:rPr>
                <w:rFonts w:cs="Calibri"/>
                <w:noProof/>
                <w:color w:val="1F497D" w:themeColor="text2"/>
                <w:szCs w:val="22"/>
                <w:lang w:eastAsia="en-AU"/>
              </w:rPr>
            </w:pPr>
            <w:r w:rsidRPr="008C1E72">
              <w:rPr>
                <w:rFonts w:cs="Calibri"/>
                <w:noProof/>
                <w:color w:val="1F497D" w:themeColor="text2"/>
                <w:szCs w:val="22"/>
                <w:lang w:eastAsia="en-AU"/>
              </w:rPr>
              <w:drawing>
                <wp:inline distT="0" distB="0" distL="0" distR="0" wp14:anchorId="5C04500B" wp14:editId="2C7F9408">
                  <wp:extent cx="201295" cy="213360"/>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vAlign w:val="center"/>
          </w:tcPr>
          <w:p w14:paraId="281BC103" w14:textId="77777777" w:rsidR="002E196A" w:rsidRPr="008C1E72" w:rsidRDefault="002E196A" w:rsidP="00714F7E">
            <w:pPr>
              <w:spacing w:before="120"/>
              <w:rPr>
                <w:rFonts w:cs="Calibri"/>
                <w:color w:val="1F497D" w:themeColor="text2"/>
                <w:szCs w:val="22"/>
                <w:lang w:val="en-GB"/>
              </w:rPr>
            </w:pPr>
            <w:r w:rsidRPr="008C1E72">
              <w:rPr>
                <w:rFonts w:cs="Calibri"/>
                <w:color w:val="1F497D" w:themeColor="text2"/>
                <w:szCs w:val="22"/>
                <w:lang w:val="en-GB"/>
              </w:rPr>
              <w:t>All registration applicants are sent an online customer experience survey, which seeks information about the organisation’s experience with the registration process, including the processing analyst’s level of helpfulness, courtesy and knowledge, the overall quality of the registration process; and timeliness.</w:t>
            </w:r>
          </w:p>
          <w:p w14:paraId="4BC85CE4" w14:textId="77777777" w:rsidR="002E196A" w:rsidRPr="008C1E72" w:rsidRDefault="002E196A" w:rsidP="0077552A">
            <w:pPr>
              <w:rPr>
                <w:rFonts w:cs="Calibri"/>
                <w:color w:val="1F497D" w:themeColor="text2"/>
                <w:szCs w:val="22"/>
                <w:lang w:val="en-GB"/>
              </w:rPr>
            </w:pPr>
            <w:r w:rsidRPr="008C1E72">
              <w:rPr>
                <w:rFonts w:cs="Calibri"/>
                <w:color w:val="1F497D" w:themeColor="text2"/>
                <w:szCs w:val="22"/>
                <w:lang w:val="en-GB"/>
              </w:rPr>
              <w:t>9</w:t>
            </w:r>
            <w:r w:rsidR="005F4178" w:rsidRPr="008C1E72">
              <w:rPr>
                <w:rFonts w:cs="Calibri"/>
                <w:color w:val="1F497D" w:themeColor="text2"/>
                <w:szCs w:val="22"/>
                <w:lang w:val="en-GB"/>
              </w:rPr>
              <w:t xml:space="preserve">4 </w:t>
            </w:r>
            <w:r w:rsidRPr="008C1E72">
              <w:rPr>
                <w:rFonts w:cs="Calibri"/>
                <w:color w:val="1F497D" w:themeColor="text2"/>
                <w:szCs w:val="22"/>
                <w:lang w:val="en-GB"/>
              </w:rPr>
              <w:t xml:space="preserve">per cent of charities expressed overall satisfaction with the quality of our service. </w:t>
            </w:r>
          </w:p>
        </w:tc>
      </w:tr>
      <w:tr w:rsidR="002E196A" w:rsidRPr="008C1E72" w14:paraId="1D24B9F8" w14:textId="77777777" w:rsidTr="00760E04">
        <w:trPr>
          <w:trHeight w:val="567"/>
        </w:trPr>
        <w:tc>
          <w:tcPr>
            <w:tcW w:w="5000" w:type="pct"/>
            <w:gridSpan w:val="11"/>
            <w:shd w:val="clear" w:color="auto" w:fill="B8CCE4" w:themeFill="accent1" w:themeFillTint="66"/>
            <w:vAlign w:val="center"/>
          </w:tcPr>
          <w:p w14:paraId="071A75C5" w14:textId="77777777" w:rsidR="002E196A" w:rsidRPr="008C1E72" w:rsidRDefault="0077552A" w:rsidP="002E196A">
            <w:pPr>
              <w:spacing w:after="0"/>
              <w:rPr>
                <w:rFonts w:cs="Calibri"/>
                <w:b/>
                <w:szCs w:val="22"/>
                <w:lang w:val="en-GB"/>
              </w:rPr>
            </w:pPr>
            <w:r w:rsidRPr="008C1E72">
              <w:rPr>
                <w:rFonts w:cs="Calibri"/>
                <w:b/>
                <w:szCs w:val="22"/>
                <w:lang w:val="en-GB"/>
              </w:rPr>
              <w:br w:type="textWrapping" w:clear="all"/>
            </w:r>
            <w:r w:rsidR="002E196A" w:rsidRPr="008C1E72">
              <w:rPr>
                <w:rFonts w:cs="Calibri"/>
                <w:b/>
                <w:szCs w:val="22"/>
                <w:lang w:val="en-GB"/>
              </w:rPr>
              <w:t>KPI 2 – Communication with regulated entities is clear, targeted and effective</w:t>
            </w:r>
          </w:p>
        </w:tc>
      </w:tr>
      <w:tr w:rsidR="002E196A" w:rsidRPr="008C1E72" w14:paraId="2238AEAC" w14:textId="77777777" w:rsidTr="00EC0921">
        <w:trPr>
          <w:trHeight w:val="408"/>
        </w:trPr>
        <w:tc>
          <w:tcPr>
            <w:tcW w:w="93" w:type="pct"/>
            <w:gridSpan w:val="2"/>
            <w:vMerge w:val="restart"/>
            <w:tcBorders>
              <w:bottom w:val="nil"/>
            </w:tcBorders>
            <w:shd w:val="clear" w:color="auto" w:fill="D9D9D9" w:themeFill="background1" w:themeFillShade="D9"/>
            <w:vAlign w:val="center"/>
          </w:tcPr>
          <w:p w14:paraId="24FF29CD" w14:textId="77777777" w:rsidR="002E196A" w:rsidRPr="008C1E72" w:rsidRDefault="002E196A" w:rsidP="002E196A">
            <w:pPr>
              <w:suppressAutoHyphens/>
              <w:jc w:val="center"/>
              <w:rPr>
                <w:rFonts w:cs="Calibri"/>
                <w:b/>
                <w:szCs w:val="22"/>
                <w:lang w:val="en-GB"/>
              </w:rPr>
            </w:pPr>
            <w:r w:rsidRPr="008C1E72">
              <w:rPr>
                <w:rFonts w:cs="Calibri"/>
                <w:b/>
                <w:szCs w:val="22"/>
                <w:lang w:val="en-GB"/>
              </w:rPr>
              <w:t>A</w:t>
            </w:r>
          </w:p>
        </w:tc>
        <w:tc>
          <w:tcPr>
            <w:tcW w:w="631" w:type="pct"/>
            <w:gridSpan w:val="2"/>
            <w:vMerge w:val="restart"/>
            <w:shd w:val="clear" w:color="auto" w:fill="auto"/>
            <w:vAlign w:val="center"/>
          </w:tcPr>
          <w:p w14:paraId="6BF3549E" w14:textId="77777777" w:rsidR="002E196A" w:rsidRPr="008C1E72" w:rsidRDefault="002E196A" w:rsidP="002E196A">
            <w:pPr>
              <w:spacing w:after="0"/>
              <w:rPr>
                <w:rFonts w:cs="Calibri"/>
                <w:szCs w:val="22"/>
                <w:lang w:val="en-GB"/>
              </w:rPr>
            </w:pPr>
            <w:r w:rsidRPr="008C1E72">
              <w:rPr>
                <w:rFonts w:cs="Calibri"/>
                <w:szCs w:val="22"/>
                <w:lang w:val="en-GB"/>
              </w:rPr>
              <w:t xml:space="preserve">Regulators provide guidance and information that is up to </w:t>
            </w:r>
            <w:r w:rsidRPr="008C1E72">
              <w:rPr>
                <w:rFonts w:cs="Calibri"/>
                <w:szCs w:val="22"/>
                <w:lang w:val="en-GB"/>
              </w:rPr>
              <w:lastRenderedPageBreak/>
              <w:t>date, clear, accessible and concise through media appropriate to the target audience.</w:t>
            </w:r>
          </w:p>
        </w:tc>
        <w:tc>
          <w:tcPr>
            <w:tcW w:w="157" w:type="pct"/>
            <w:gridSpan w:val="2"/>
            <w:shd w:val="clear" w:color="auto" w:fill="D9D9D9" w:themeFill="background1" w:themeFillShade="D9"/>
            <w:vAlign w:val="center"/>
          </w:tcPr>
          <w:p w14:paraId="7102259C" w14:textId="77777777" w:rsidR="002E196A" w:rsidRPr="008C1E72" w:rsidRDefault="002E196A" w:rsidP="002E196A">
            <w:pPr>
              <w:suppressAutoHyphens/>
              <w:jc w:val="center"/>
              <w:rPr>
                <w:rFonts w:cs="Calibri"/>
                <w:b/>
                <w:szCs w:val="22"/>
                <w:lang w:val="en-GB"/>
              </w:rPr>
            </w:pPr>
            <w:r w:rsidRPr="008C1E72">
              <w:rPr>
                <w:rFonts w:cs="Calibri"/>
                <w:b/>
                <w:szCs w:val="22"/>
                <w:lang w:val="en-GB"/>
              </w:rPr>
              <w:lastRenderedPageBreak/>
              <w:t>2.1</w:t>
            </w:r>
          </w:p>
        </w:tc>
        <w:tc>
          <w:tcPr>
            <w:tcW w:w="709" w:type="pct"/>
            <w:tcBorders>
              <w:bottom w:val="single" w:sz="4" w:space="0" w:color="auto"/>
            </w:tcBorders>
            <w:shd w:val="clear" w:color="auto" w:fill="auto"/>
            <w:vAlign w:val="center"/>
          </w:tcPr>
          <w:p w14:paraId="7A69C762" w14:textId="77777777" w:rsidR="002E196A" w:rsidRPr="008C1E72" w:rsidRDefault="002E196A" w:rsidP="002E196A">
            <w:pPr>
              <w:spacing w:after="0"/>
              <w:rPr>
                <w:rFonts w:cs="Calibri"/>
                <w:b/>
                <w:szCs w:val="22"/>
                <w:lang w:val="en-GB"/>
              </w:rPr>
            </w:pPr>
            <w:r w:rsidRPr="008C1E72">
              <w:rPr>
                <w:rFonts w:cs="Calibri"/>
                <w:b/>
                <w:szCs w:val="22"/>
                <w:lang w:val="en-GB"/>
              </w:rPr>
              <w:t xml:space="preserve">Regulatory obligations of charities are explained through </w:t>
            </w:r>
            <w:r w:rsidRPr="008C1E72">
              <w:rPr>
                <w:rFonts w:cs="Calibri"/>
                <w:b/>
                <w:szCs w:val="22"/>
                <w:lang w:val="en-GB"/>
              </w:rPr>
              <w:lastRenderedPageBreak/>
              <w:t>plain language guidance and education</w:t>
            </w:r>
          </w:p>
        </w:tc>
        <w:tc>
          <w:tcPr>
            <w:tcW w:w="915" w:type="pct"/>
            <w:gridSpan w:val="2"/>
            <w:tcBorders>
              <w:bottom w:val="single" w:sz="4" w:space="0" w:color="auto"/>
            </w:tcBorders>
            <w:vAlign w:val="center"/>
          </w:tcPr>
          <w:p w14:paraId="4712E23A" w14:textId="77777777" w:rsidR="008F5FDA" w:rsidRPr="008C1E72" w:rsidRDefault="008F5FDA" w:rsidP="002E196A">
            <w:pPr>
              <w:spacing w:after="0"/>
              <w:rPr>
                <w:rFonts w:cs="Calibri"/>
                <w:b/>
                <w:color w:val="1F497D" w:themeColor="text2"/>
                <w:szCs w:val="22"/>
                <w:lang w:val="en-GB"/>
              </w:rPr>
            </w:pPr>
          </w:p>
          <w:p w14:paraId="3A7DAD01" w14:textId="77777777" w:rsidR="000C47AB" w:rsidRPr="008C1E72" w:rsidRDefault="000C47AB" w:rsidP="002E196A">
            <w:pPr>
              <w:spacing w:after="0"/>
              <w:rPr>
                <w:rFonts w:cs="Calibri"/>
                <w:b/>
                <w:color w:val="1F497D" w:themeColor="text2"/>
                <w:szCs w:val="22"/>
                <w:lang w:val="en-GB"/>
              </w:rPr>
            </w:pPr>
            <w:r w:rsidRPr="008C1E72">
              <w:rPr>
                <w:rFonts w:cs="Calibri"/>
                <w:b/>
                <w:color w:val="1F497D" w:themeColor="text2"/>
                <w:szCs w:val="22"/>
                <w:lang w:val="en-GB"/>
              </w:rPr>
              <w:t xml:space="preserve">Guidance </w:t>
            </w:r>
          </w:p>
          <w:p w14:paraId="0262C25A" w14:textId="77777777" w:rsidR="008F5FDA" w:rsidRPr="008C1E72" w:rsidRDefault="008F5FDA" w:rsidP="002E196A">
            <w:pPr>
              <w:spacing w:after="0"/>
              <w:rPr>
                <w:rFonts w:cs="Calibri"/>
                <w:color w:val="1F497D" w:themeColor="text2"/>
                <w:szCs w:val="22"/>
                <w:lang w:val="en-GB"/>
              </w:rPr>
            </w:pPr>
          </w:p>
          <w:p w14:paraId="21C6B902" w14:textId="77777777" w:rsidR="002E196A" w:rsidRPr="008C1E72" w:rsidRDefault="000C47AB" w:rsidP="002E196A">
            <w:pPr>
              <w:spacing w:after="0"/>
              <w:rPr>
                <w:rFonts w:cs="Calibri"/>
                <w:color w:val="1F497D" w:themeColor="text2"/>
                <w:szCs w:val="22"/>
                <w:lang w:val="en-GB"/>
              </w:rPr>
            </w:pPr>
            <w:r w:rsidRPr="008C1E72">
              <w:rPr>
                <w:rFonts w:cs="Calibri"/>
                <w:color w:val="1F497D" w:themeColor="text2"/>
                <w:szCs w:val="22"/>
                <w:lang w:val="en-GB"/>
              </w:rPr>
              <w:t xml:space="preserve">3 new guides published in </w:t>
            </w:r>
            <w:r w:rsidR="002E196A" w:rsidRPr="008C1E72">
              <w:rPr>
                <w:rFonts w:cs="Calibri"/>
                <w:color w:val="1F497D" w:themeColor="text2"/>
                <w:szCs w:val="22"/>
                <w:lang w:val="en-GB"/>
              </w:rPr>
              <w:t>201</w:t>
            </w:r>
            <w:r w:rsidRPr="008C1E72">
              <w:rPr>
                <w:rFonts w:cs="Calibri"/>
                <w:color w:val="1F497D" w:themeColor="text2"/>
                <w:szCs w:val="22"/>
                <w:lang w:val="en-GB"/>
              </w:rPr>
              <w:t>7-18</w:t>
            </w:r>
          </w:p>
          <w:p w14:paraId="5FB4520D" w14:textId="77777777" w:rsidR="000C47AB" w:rsidRPr="008C1E72" w:rsidRDefault="000C47AB" w:rsidP="002E196A">
            <w:pPr>
              <w:spacing w:after="0"/>
              <w:rPr>
                <w:rFonts w:cs="Calibri"/>
                <w:color w:val="1F497D" w:themeColor="text2"/>
                <w:szCs w:val="22"/>
                <w:lang w:val="en-GB"/>
              </w:rPr>
            </w:pPr>
          </w:p>
          <w:p w14:paraId="23BCA2C7" w14:textId="77777777" w:rsidR="00403732" w:rsidRPr="008C1E72" w:rsidRDefault="00403732" w:rsidP="002E196A">
            <w:pPr>
              <w:spacing w:after="0"/>
              <w:rPr>
                <w:rFonts w:cs="Calibri"/>
                <w:b/>
                <w:color w:val="1F497D" w:themeColor="text2"/>
                <w:szCs w:val="22"/>
                <w:lang w:val="en-GB"/>
              </w:rPr>
            </w:pPr>
          </w:p>
          <w:p w14:paraId="16BD6EE8" w14:textId="77777777" w:rsidR="00403732" w:rsidRPr="008C1E72" w:rsidRDefault="00403732" w:rsidP="002E196A">
            <w:pPr>
              <w:spacing w:after="0"/>
              <w:rPr>
                <w:rFonts w:cs="Calibri"/>
                <w:b/>
                <w:color w:val="1F497D" w:themeColor="text2"/>
                <w:szCs w:val="22"/>
                <w:lang w:val="en-GB"/>
              </w:rPr>
            </w:pPr>
          </w:p>
          <w:p w14:paraId="7C54801C" w14:textId="77777777" w:rsidR="002E196A" w:rsidRPr="008C1E72" w:rsidRDefault="002E196A" w:rsidP="002E196A">
            <w:pPr>
              <w:spacing w:after="0"/>
              <w:rPr>
                <w:rFonts w:cs="Calibri"/>
                <w:b/>
                <w:color w:val="1F497D" w:themeColor="text2"/>
                <w:szCs w:val="22"/>
                <w:lang w:val="en-GB"/>
              </w:rPr>
            </w:pPr>
            <w:r w:rsidRPr="008C1E72">
              <w:rPr>
                <w:rFonts w:cs="Calibri"/>
                <w:b/>
                <w:color w:val="1F497D" w:themeColor="text2"/>
                <w:szCs w:val="22"/>
                <w:lang w:val="en-GB"/>
              </w:rPr>
              <w:t>Online and face-to-face education sessions</w:t>
            </w:r>
            <w:r w:rsidR="000C47AB" w:rsidRPr="008C1E72">
              <w:rPr>
                <w:rFonts w:cs="Calibri"/>
                <w:b/>
                <w:color w:val="1F497D" w:themeColor="text2"/>
                <w:szCs w:val="22"/>
                <w:lang w:val="en-GB"/>
              </w:rPr>
              <w:t xml:space="preserve"> in 2017-18</w:t>
            </w:r>
          </w:p>
          <w:p w14:paraId="50C3BD76" w14:textId="77777777" w:rsidR="002E196A" w:rsidRPr="008C1E72" w:rsidRDefault="002E196A" w:rsidP="002E196A">
            <w:pPr>
              <w:spacing w:after="0"/>
              <w:rPr>
                <w:rFonts w:cs="Calibri"/>
                <w:szCs w:val="22"/>
                <w:lang w:val="en-GB"/>
              </w:rPr>
            </w:pPr>
          </w:p>
          <w:p w14:paraId="00484B7C" w14:textId="77777777" w:rsidR="000C47AB" w:rsidRPr="008C1E72" w:rsidRDefault="000C47AB" w:rsidP="002E196A">
            <w:pPr>
              <w:spacing w:after="0"/>
              <w:rPr>
                <w:rFonts w:cs="Calibri"/>
                <w:color w:val="1F497D" w:themeColor="text2"/>
                <w:szCs w:val="22"/>
                <w:lang w:val="en-GB"/>
              </w:rPr>
            </w:pPr>
            <w:r w:rsidRPr="008C1E72">
              <w:rPr>
                <w:rFonts w:cs="Calibri"/>
                <w:color w:val="1F497D" w:themeColor="text2"/>
                <w:szCs w:val="22"/>
                <w:lang w:val="en-GB"/>
              </w:rPr>
              <w:t>15 webinars</w:t>
            </w:r>
          </w:p>
          <w:p w14:paraId="708491EF" w14:textId="77777777" w:rsidR="000C47AB" w:rsidRPr="008C1E72" w:rsidRDefault="000C47AB" w:rsidP="002E196A">
            <w:pPr>
              <w:spacing w:after="0"/>
              <w:rPr>
                <w:rFonts w:cs="Calibri"/>
                <w:color w:val="1F497D" w:themeColor="text2"/>
                <w:szCs w:val="22"/>
                <w:lang w:val="en-GB"/>
              </w:rPr>
            </w:pPr>
          </w:p>
          <w:p w14:paraId="28DF7F61" w14:textId="77777777" w:rsidR="000C47AB" w:rsidRPr="008C1E72" w:rsidRDefault="000C47AB" w:rsidP="002E196A">
            <w:pPr>
              <w:spacing w:after="0"/>
              <w:rPr>
                <w:rFonts w:cs="Calibri"/>
                <w:color w:val="1F497D" w:themeColor="text2"/>
                <w:szCs w:val="22"/>
                <w:lang w:val="en-GB"/>
              </w:rPr>
            </w:pPr>
            <w:r w:rsidRPr="008C1E72">
              <w:rPr>
                <w:rFonts w:cs="Calibri"/>
                <w:color w:val="1F497D" w:themeColor="text2"/>
                <w:szCs w:val="22"/>
                <w:lang w:val="en-GB"/>
              </w:rPr>
              <w:t>13 podcasts</w:t>
            </w:r>
          </w:p>
          <w:p w14:paraId="2126705A" w14:textId="77777777" w:rsidR="000C47AB" w:rsidRPr="008C1E72" w:rsidRDefault="000C47AB" w:rsidP="002E196A">
            <w:pPr>
              <w:spacing w:after="0"/>
              <w:rPr>
                <w:rFonts w:cs="Calibri"/>
                <w:color w:val="1F497D" w:themeColor="text2"/>
                <w:szCs w:val="22"/>
                <w:lang w:val="en-GB"/>
              </w:rPr>
            </w:pPr>
          </w:p>
          <w:p w14:paraId="5AB0E471" w14:textId="77777777" w:rsidR="000C47AB" w:rsidRPr="008C1E72" w:rsidRDefault="000C47AB" w:rsidP="002E196A">
            <w:pPr>
              <w:spacing w:after="0"/>
              <w:rPr>
                <w:rFonts w:cs="Calibri"/>
                <w:color w:val="1F497D" w:themeColor="text2"/>
                <w:szCs w:val="22"/>
                <w:lang w:val="en-GB"/>
              </w:rPr>
            </w:pPr>
            <w:r w:rsidRPr="008C1E72">
              <w:rPr>
                <w:rFonts w:cs="Calibri"/>
                <w:color w:val="1F497D" w:themeColor="text2"/>
                <w:szCs w:val="22"/>
                <w:lang w:val="en-GB"/>
              </w:rPr>
              <w:t>11 ‘how-to’ videos</w:t>
            </w:r>
          </w:p>
          <w:p w14:paraId="4F38A249" w14:textId="77777777" w:rsidR="000C47AB" w:rsidRPr="008C1E72" w:rsidRDefault="000C47AB" w:rsidP="002E196A">
            <w:pPr>
              <w:spacing w:after="0"/>
              <w:rPr>
                <w:rFonts w:cs="Calibri"/>
                <w:color w:val="1F497D" w:themeColor="text2"/>
                <w:szCs w:val="22"/>
                <w:lang w:val="en-GB"/>
              </w:rPr>
            </w:pPr>
          </w:p>
          <w:p w14:paraId="4AB69F30" w14:textId="77777777" w:rsidR="000C47AB" w:rsidRPr="008C1E72" w:rsidRDefault="000C47AB" w:rsidP="000C47AB">
            <w:pPr>
              <w:spacing w:after="0"/>
              <w:rPr>
                <w:rFonts w:cs="Calibri"/>
                <w:color w:val="1F497D" w:themeColor="text2"/>
                <w:szCs w:val="22"/>
                <w:lang w:val="en-GB"/>
              </w:rPr>
            </w:pPr>
            <w:r w:rsidRPr="008C1E72">
              <w:rPr>
                <w:rFonts w:cs="Calibri"/>
                <w:color w:val="1F497D" w:themeColor="text2"/>
                <w:szCs w:val="22"/>
                <w:lang w:val="en-GB"/>
              </w:rPr>
              <w:t>279 stakeholder meetings</w:t>
            </w:r>
          </w:p>
          <w:p w14:paraId="5B05D804" w14:textId="77777777" w:rsidR="002E196A" w:rsidRPr="008C1E72" w:rsidRDefault="002E196A" w:rsidP="002E196A">
            <w:pPr>
              <w:spacing w:after="0"/>
              <w:rPr>
                <w:rFonts w:cs="Calibri"/>
                <w:szCs w:val="22"/>
                <w:highlight w:val="yellow"/>
                <w:lang w:val="en-GB"/>
              </w:rPr>
            </w:pPr>
          </w:p>
        </w:tc>
        <w:tc>
          <w:tcPr>
            <w:tcW w:w="235" w:type="pct"/>
            <w:tcBorders>
              <w:bottom w:val="single" w:sz="4" w:space="0" w:color="auto"/>
            </w:tcBorders>
          </w:tcPr>
          <w:p w14:paraId="0A3CFAA8" w14:textId="77777777" w:rsidR="002E196A" w:rsidRPr="008C1E72" w:rsidRDefault="002E196A" w:rsidP="002E196A">
            <w:pPr>
              <w:spacing w:after="0"/>
              <w:jc w:val="center"/>
              <w:rPr>
                <w:rFonts w:cs="Calibri"/>
                <w:noProof/>
                <w:color w:val="1F497D" w:themeColor="text2"/>
                <w:szCs w:val="22"/>
                <w:highlight w:val="yellow"/>
                <w:lang w:eastAsia="en-AU"/>
              </w:rPr>
            </w:pPr>
          </w:p>
          <w:p w14:paraId="6068B368" w14:textId="77777777" w:rsidR="00714F7E" w:rsidRPr="008C1E72" w:rsidRDefault="00714F7E" w:rsidP="002E196A">
            <w:pPr>
              <w:spacing w:after="0"/>
              <w:jc w:val="center"/>
              <w:rPr>
                <w:rFonts w:cs="Calibri"/>
                <w:noProof/>
                <w:color w:val="1F497D" w:themeColor="text2"/>
                <w:szCs w:val="22"/>
                <w:lang w:eastAsia="en-AU"/>
              </w:rPr>
            </w:pPr>
          </w:p>
          <w:p w14:paraId="2BB77559" w14:textId="77777777" w:rsidR="00714F7E" w:rsidRPr="008C1E72" w:rsidRDefault="00714F7E" w:rsidP="002E196A">
            <w:pPr>
              <w:spacing w:after="0"/>
              <w:jc w:val="center"/>
              <w:rPr>
                <w:rFonts w:cs="Calibri"/>
                <w:noProof/>
                <w:color w:val="1F497D" w:themeColor="text2"/>
                <w:szCs w:val="22"/>
                <w:lang w:eastAsia="en-AU"/>
              </w:rPr>
            </w:pPr>
          </w:p>
          <w:p w14:paraId="381DA5A2" w14:textId="77777777" w:rsidR="00714F7E" w:rsidRPr="008C1E72" w:rsidRDefault="00714F7E" w:rsidP="002E196A">
            <w:pPr>
              <w:spacing w:after="0"/>
              <w:jc w:val="center"/>
              <w:rPr>
                <w:rFonts w:cs="Calibri"/>
                <w:noProof/>
                <w:color w:val="1F497D" w:themeColor="text2"/>
                <w:szCs w:val="22"/>
                <w:lang w:eastAsia="en-AU"/>
              </w:rPr>
            </w:pPr>
          </w:p>
          <w:p w14:paraId="64680A92" w14:textId="77777777" w:rsidR="00714F7E" w:rsidRPr="008C1E72" w:rsidRDefault="00714F7E" w:rsidP="002E196A">
            <w:pPr>
              <w:spacing w:after="0"/>
              <w:jc w:val="center"/>
              <w:rPr>
                <w:rFonts w:cs="Calibri"/>
                <w:noProof/>
                <w:color w:val="1F497D" w:themeColor="text2"/>
                <w:szCs w:val="22"/>
                <w:lang w:eastAsia="en-AU"/>
              </w:rPr>
            </w:pPr>
          </w:p>
          <w:p w14:paraId="066A7143" w14:textId="77777777" w:rsidR="00714F7E" w:rsidRPr="008C1E72" w:rsidRDefault="00714F7E" w:rsidP="002E196A">
            <w:pPr>
              <w:spacing w:after="0"/>
              <w:jc w:val="center"/>
              <w:rPr>
                <w:rFonts w:cs="Calibri"/>
                <w:noProof/>
                <w:color w:val="1F497D" w:themeColor="text2"/>
                <w:szCs w:val="22"/>
                <w:lang w:eastAsia="en-AU"/>
              </w:rPr>
            </w:pPr>
          </w:p>
          <w:p w14:paraId="3C87D23C" w14:textId="77777777" w:rsidR="00714F7E" w:rsidRPr="008C1E72" w:rsidRDefault="00714F7E" w:rsidP="002E196A">
            <w:pPr>
              <w:spacing w:after="0"/>
              <w:jc w:val="center"/>
              <w:rPr>
                <w:rFonts w:cs="Calibri"/>
                <w:noProof/>
                <w:color w:val="1F497D" w:themeColor="text2"/>
                <w:szCs w:val="22"/>
                <w:lang w:eastAsia="en-AU"/>
              </w:rPr>
            </w:pPr>
          </w:p>
          <w:p w14:paraId="419918CB" w14:textId="77777777" w:rsidR="00714F7E" w:rsidRPr="008C1E72" w:rsidRDefault="00714F7E" w:rsidP="002E196A">
            <w:pPr>
              <w:spacing w:after="0"/>
              <w:jc w:val="center"/>
              <w:rPr>
                <w:rFonts w:cs="Calibri"/>
                <w:noProof/>
                <w:color w:val="1F497D" w:themeColor="text2"/>
                <w:szCs w:val="22"/>
                <w:lang w:eastAsia="en-AU"/>
              </w:rPr>
            </w:pPr>
          </w:p>
          <w:p w14:paraId="29590B26" w14:textId="77777777" w:rsidR="00714F7E" w:rsidRPr="008C1E72" w:rsidRDefault="00714F7E" w:rsidP="002E196A">
            <w:pPr>
              <w:spacing w:after="0"/>
              <w:jc w:val="center"/>
              <w:rPr>
                <w:rFonts w:cs="Calibri"/>
                <w:noProof/>
                <w:color w:val="1F497D" w:themeColor="text2"/>
                <w:szCs w:val="22"/>
                <w:lang w:eastAsia="en-AU"/>
              </w:rPr>
            </w:pPr>
          </w:p>
          <w:p w14:paraId="580D7DC1" w14:textId="77777777" w:rsidR="00714F7E" w:rsidRPr="008C1E72" w:rsidRDefault="00714F7E" w:rsidP="002E196A">
            <w:pPr>
              <w:spacing w:after="0"/>
              <w:jc w:val="center"/>
              <w:rPr>
                <w:rFonts w:cs="Calibri"/>
                <w:noProof/>
                <w:color w:val="1F497D" w:themeColor="text2"/>
                <w:szCs w:val="22"/>
                <w:lang w:eastAsia="en-AU"/>
              </w:rPr>
            </w:pPr>
          </w:p>
          <w:p w14:paraId="189E43DC" w14:textId="77777777" w:rsidR="00714F7E" w:rsidRPr="008C1E72" w:rsidRDefault="00714F7E" w:rsidP="002E196A">
            <w:pPr>
              <w:spacing w:after="0"/>
              <w:jc w:val="center"/>
              <w:rPr>
                <w:rFonts w:cs="Calibri"/>
                <w:noProof/>
                <w:color w:val="1F497D" w:themeColor="text2"/>
                <w:szCs w:val="22"/>
                <w:lang w:eastAsia="en-AU"/>
              </w:rPr>
            </w:pPr>
          </w:p>
          <w:p w14:paraId="0A9E143C" w14:textId="77777777" w:rsidR="00714F7E" w:rsidRPr="008C1E72" w:rsidRDefault="00714F7E" w:rsidP="002E196A">
            <w:pPr>
              <w:spacing w:after="0"/>
              <w:jc w:val="center"/>
              <w:rPr>
                <w:rFonts w:cs="Calibri"/>
                <w:noProof/>
                <w:color w:val="1F497D" w:themeColor="text2"/>
                <w:szCs w:val="22"/>
                <w:lang w:eastAsia="en-AU"/>
              </w:rPr>
            </w:pPr>
          </w:p>
          <w:p w14:paraId="6D7AF5F2" w14:textId="77777777" w:rsidR="00714F7E" w:rsidRPr="008C1E72" w:rsidRDefault="00714F7E" w:rsidP="002E196A">
            <w:pPr>
              <w:spacing w:after="0"/>
              <w:jc w:val="center"/>
              <w:rPr>
                <w:rFonts w:cs="Calibri"/>
                <w:noProof/>
                <w:color w:val="1F497D" w:themeColor="text2"/>
                <w:szCs w:val="22"/>
                <w:lang w:eastAsia="en-AU"/>
              </w:rPr>
            </w:pPr>
          </w:p>
          <w:p w14:paraId="213A2EF1" w14:textId="77777777" w:rsidR="00714F7E" w:rsidRPr="008C1E72" w:rsidRDefault="00714F7E" w:rsidP="002E196A">
            <w:pPr>
              <w:spacing w:after="0"/>
              <w:jc w:val="center"/>
              <w:rPr>
                <w:rFonts w:cs="Calibri"/>
                <w:noProof/>
                <w:color w:val="1F497D" w:themeColor="text2"/>
                <w:szCs w:val="22"/>
                <w:lang w:eastAsia="en-AU"/>
              </w:rPr>
            </w:pPr>
          </w:p>
          <w:p w14:paraId="502787ED"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355ECF2C" wp14:editId="113EA3C7">
                  <wp:extent cx="201295" cy="213360"/>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tcBorders>
              <w:bottom w:val="single" w:sz="4" w:space="0" w:color="auto"/>
            </w:tcBorders>
          </w:tcPr>
          <w:p w14:paraId="179667AA" w14:textId="77777777" w:rsidR="002E196A" w:rsidRPr="008C1E72" w:rsidRDefault="000C47AB" w:rsidP="00D65DF6">
            <w:pPr>
              <w:rPr>
                <w:rFonts w:cs="Calibri"/>
                <w:color w:val="1F497D" w:themeColor="text2"/>
                <w:szCs w:val="22"/>
                <w:lang w:val="en-GB"/>
              </w:rPr>
            </w:pPr>
            <w:r w:rsidRPr="008C1E72">
              <w:rPr>
                <w:rFonts w:cs="Calibri"/>
                <w:color w:val="1F497D" w:themeColor="text2"/>
                <w:szCs w:val="22"/>
                <w:lang w:val="en-GB"/>
              </w:rPr>
              <w:lastRenderedPageBreak/>
              <w:t>ACNC</w:t>
            </w:r>
            <w:r w:rsidR="00714F7E" w:rsidRPr="008C1E72">
              <w:rPr>
                <w:rFonts w:cs="Calibri"/>
                <w:color w:val="1F497D" w:themeColor="text2"/>
                <w:szCs w:val="22"/>
                <w:lang w:val="en-GB"/>
              </w:rPr>
              <w:t xml:space="preserve"> staff </w:t>
            </w:r>
            <w:r w:rsidR="002E196A" w:rsidRPr="008C1E72">
              <w:rPr>
                <w:rFonts w:cs="Calibri"/>
                <w:color w:val="1F497D" w:themeColor="text2"/>
                <w:szCs w:val="22"/>
                <w:lang w:val="en-GB"/>
              </w:rPr>
              <w:t>provide advice directly to charities, in writing and over the phone.</w:t>
            </w:r>
          </w:p>
          <w:p w14:paraId="0013B310" w14:textId="77777777" w:rsidR="002E196A" w:rsidRPr="008C1E72" w:rsidRDefault="002E196A" w:rsidP="008963E0">
            <w:pPr>
              <w:pStyle w:val="BodyText2"/>
              <w:spacing w:before="120" w:after="120"/>
              <w:rPr>
                <w:rFonts w:cs="Calibri"/>
                <w:b/>
                <w:color w:val="1F497D" w:themeColor="text2"/>
              </w:rPr>
            </w:pPr>
            <w:r w:rsidRPr="008C1E72">
              <w:rPr>
                <w:rFonts w:cs="Calibri"/>
                <w:b/>
                <w:color w:val="1F497D" w:themeColor="text2"/>
              </w:rPr>
              <w:lastRenderedPageBreak/>
              <w:t xml:space="preserve">Guidance </w:t>
            </w:r>
          </w:p>
          <w:p w14:paraId="0EC9192C" w14:textId="77777777" w:rsidR="00912C5B" w:rsidRPr="008C1E72" w:rsidRDefault="002E196A" w:rsidP="002E196A">
            <w:pPr>
              <w:rPr>
                <w:rFonts w:cs="Calibri"/>
                <w:color w:val="1F497D" w:themeColor="text2"/>
                <w:szCs w:val="22"/>
              </w:rPr>
            </w:pPr>
            <w:r w:rsidRPr="008C1E72">
              <w:rPr>
                <w:rFonts w:cs="Calibri"/>
                <w:color w:val="1F497D" w:themeColor="text2"/>
                <w:szCs w:val="22"/>
              </w:rPr>
              <w:t>In 201</w:t>
            </w:r>
            <w:r w:rsidR="00912C5B" w:rsidRPr="008C1E72">
              <w:rPr>
                <w:rFonts w:cs="Calibri"/>
                <w:color w:val="1F497D" w:themeColor="text2"/>
                <w:szCs w:val="22"/>
              </w:rPr>
              <w:t>7-18, we added three new guides:</w:t>
            </w:r>
          </w:p>
          <w:p w14:paraId="53D774D7" w14:textId="77777777" w:rsidR="00912C5B" w:rsidRPr="008C1E72" w:rsidRDefault="00927E5C" w:rsidP="00114AC9">
            <w:pPr>
              <w:numPr>
                <w:ilvl w:val="0"/>
                <w:numId w:val="15"/>
              </w:numPr>
              <w:rPr>
                <w:rFonts w:cs="Calibri"/>
                <w:color w:val="1F497D" w:themeColor="text2"/>
                <w:szCs w:val="22"/>
              </w:rPr>
            </w:pPr>
            <w:hyperlink r:id="rId57" w:history="1">
              <w:r w:rsidR="00912C5B" w:rsidRPr="00972E4C">
                <w:rPr>
                  <w:rStyle w:val="Hyperlink"/>
                  <w:rFonts w:cs="Calibri"/>
                </w:rPr>
                <w:t>Remunerating charity board members</w:t>
              </w:r>
            </w:hyperlink>
            <w:r w:rsidR="00912C5B" w:rsidRPr="008C1E72">
              <w:rPr>
                <w:rFonts w:cs="Calibri"/>
                <w:color w:val="1F497D" w:themeColor="text2"/>
                <w:szCs w:val="22"/>
              </w:rPr>
              <w:t xml:space="preserve"> – a guide about paying Responsible Persons for their duties. </w:t>
            </w:r>
          </w:p>
          <w:p w14:paraId="0BAA4B06" w14:textId="77777777" w:rsidR="00912C5B" w:rsidRPr="008C1E72" w:rsidRDefault="00927E5C" w:rsidP="00114AC9">
            <w:pPr>
              <w:numPr>
                <w:ilvl w:val="0"/>
                <w:numId w:val="15"/>
              </w:numPr>
              <w:rPr>
                <w:rFonts w:cs="Calibri"/>
                <w:color w:val="1F497D" w:themeColor="text2"/>
                <w:szCs w:val="22"/>
              </w:rPr>
            </w:pPr>
            <w:hyperlink r:id="rId58" w:history="1">
              <w:r w:rsidR="00912C5B" w:rsidRPr="00972E4C">
                <w:rPr>
                  <w:rStyle w:val="Hyperlink"/>
                  <w:rFonts w:cs="Calibri"/>
                </w:rPr>
                <w:t>Charities operating overseas</w:t>
              </w:r>
            </w:hyperlink>
            <w:r w:rsidR="00912C5B" w:rsidRPr="008C1E72">
              <w:rPr>
                <w:rFonts w:cs="Calibri"/>
                <w:color w:val="1F497D" w:themeColor="text2"/>
                <w:szCs w:val="22"/>
              </w:rPr>
              <w:t xml:space="preserve"> – a guide intended to help people in charities understand and manage risks involved in operating overseas, and their obligations to the ACNC.</w:t>
            </w:r>
          </w:p>
          <w:p w14:paraId="1F0CCA32" w14:textId="77777777" w:rsidR="00912C5B" w:rsidRPr="008C1E72" w:rsidRDefault="00927E5C" w:rsidP="00114AC9">
            <w:pPr>
              <w:numPr>
                <w:ilvl w:val="0"/>
                <w:numId w:val="15"/>
              </w:numPr>
              <w:rPr>
                <w:rFonts w:cs="Calibri"/>
                <w:color w:val="1F497D" w:themeColor="text2"/>
                <w:szCs w:val="22"/>
              </w:rPr>
            </w:pPr>
            <w:hyperlink r:id="rId59" w:history="1">
              <w:r w:rsidR="00912C5B" w:rsidRPr="00972E4C">
                <w:rPr>
                  <w:rStyle w:val="Hyperlink"/>
                  <w:rFonts w:cs="Calibri"/>
                  <w:i/>
                  <w:szCs w:val="22"/>
                </w:rPr>
                <w:t>Charities and Corporate Partnerships</w:t>
              </w:r>
            </w:hyperlink>
            <w:r w:rsidR="00912C5B" w:rsidRPr="008C1E72">
              <w:rPr>
                <w:rFonts w:cs="Calibri"/>
                <w:color w:val="1F497D" w:themeColor="text2"/>
                <w:szCs w:val="22"/>
              </w:rPr>
              <w:t xml:space="preserve"> – a factsheet intended to give guidance to charities about establishing corporate partnerships and their obligations to the ACNC. </w:t>
            </w:r>
          </w:p>
          <w:p w14:paraId="48B5AFAA" w14:textId="77777777" w:rsidR="00912C5B" w:rsidRPr="008C1E72" w:rsidRDefault="00912C5B" w:rsidP="00912C5B">
            <w:pPr>
              <w:rPr>
                <w:rFonts w:cs="Calibri"/>
                <w:color w:val="1F497D" w:themeColor="text2"/>
                <w:szCs w:val="22"/>
              </w:rPr>
            </w:pPr>
            <w:r w:rsidRPr="008C1E72">
              <w:rPr>
                <w:rFonts w:cs="Calibri"/>
                <w:color w:val="1F497D" w:themeColor="text2"/>
                <w:szCs w:val="22"/>
              </w:rPr>
              <w:t xml:space="preserve">We also updated our flagship guide: </w:t>
            </w:r>
            <w:hyperlink r:id="rId60" w:history="1">
              <w:r w:rsidRPr="00972E4C">
                <w:rPr>
                  <w:rStyle w:val="Hyperlink"/>
                  <w:rFonts w:cs="Calibri"/>
                </w:rPr>
                <w:t>Governance for good - The ACNC’s guide for charity board members</w:t>
              </w:r>
            </w:hyperlink>
            <w:r w:rsidRPr="008C1E72">
              <w:rPr>
                <w:rFonts w:cs="Calibri"/>
                <w:color w:val="1F497D" w:themeColor="text2"/>
                <w:szCs w:val="22"/>
              </w:rPr>
              <w:t>.</w:t>
            </w:r>
          </w:p>
          <w:p w14:paraId="7D20DBE1" w14:textId="77777777" w:rsidR="00912C5B" w:rsidRPr="008C1E72" w:rsidRDefault="00912C5B" w:rsidP="008963E0">
            <w:pPr>
              <w:pStyle w:val="BodyText2"/>
              <w:spacing w:before="120" w:after="120"/>
              <w:rPr>
                <w:rFonts w:cs="Calibri"/>
                <w:b/>
                <w:color w:val="1F497D" w:themeColor="text2"/>
              </w:rPr>
            </w:pPr>
            <w:r w:rsidRPr="008C1E72">
              <w:rPr>
                <w:rFonts w:cs="Calibri"/>
                <w:b/>
                <w:color w:val="1F497D" w:themeColor="text2"/>
              </w:rPr>
              <w:t>Online and face-to-face education sessions</w:t>
            </w:r>
          </w:p>
          <w:p w14:paraId="70A03FBF" w14:textId="77777777" w:rsidR="00912C5B" w:rsidRPr="008C1E72" w:rsidRDefault="00912C5B" w:rsidP="00912C5B">
            <w:pPr>
              <w:keepNext/>
              <w:keepLines/>
              <w:spacing w:before="40"/>
              <w:outlineLvl w:val="3"/>
              <w:rPr>
                <w:rFonts w:cs="Calibri"/>
                <w:color w:val="1F497D" w:themeColor="text2"/>
                <w:szCs w:val="22"/>
              </w:rPr>
            </w:pPr>
            <w:r w:rsidRPr="008C1E72">
              <w:rPr>
                <w:rFonts w:cs="Calibri"/>
                <w:color w:val="1F497D" w:themeColor="text2"/>
                <w:szCs w:val="22"/>
              </w:rPr>
              <w:t xml:space="preserve">Tailor made for organisations in the charity and wider NFP sectors, our webinar program provides information and guidance to help them operate effectively, avoid pitfalls or comply with legal, reporting or other requirements. In 2017-18, we presented 15 webinars on a range on topics, including a session for the public on how to donate to legitimate charities. For charities, webinar topics included managing finances, administration costs and how to complete the Annual Information Statement.  Participation in our free webinars increased this year, with registrations up by 48 per cent. In total, we had 3,106 webinar registrations across the year, with an average of 207 registrants per webinar. </w:t>
            </w:r>
          </w:p>
          <w:p w14:paraId="4EBA69B6" w14:textId="77777777" w:rsidR="002E196A" w:rsidRPr="008C1E72" w:rsidRDefault="00912C5B" w:rsidP="00912C5B">
            <w:pPr>
              <w:rPr>
                <w:rFonts w:cs="Calibri"/>
                <w:color w:val="1F497D" w:themeColor="text2"/>
                <w:szCs w:val="22"/>
              </w:rPr>
            </w:pPr>
            <w:r w:rsidRPr="008C1E72">
              <w:rPr>
                <w:rFonts w:cs="Calibri"/>
                <w:color w:val="1F497D" w:themeColor="text2"/>
                <w:szCs w:val="22"/>
              </w:rPr>
              <w:t>In 2017-18, we produced 13 new episodes of our ‘Charity Chat’ podcast, which were downloaded more than 13,000 times. Our podcast features ACNC and leading sector experts who share their knowledge with listeners. Podcast episodes included ‘Are there too many charities?’, ‘How can charities get involved in advocacy?’, ‘Do Australians trust charities?’ and ‘How charities work with corporate partners.’</w:t>
            </w:r>
            <w:r w:rsidR="005F4178" w:rsidRPr="008C1E72">
              <w:rPr>
                <w:rFonts w:cs="Calibri"/>
                <w:color w:val="1F497D" w:themeColor="text2"/>
                <w:szCs w:val="22"/>
              </w:rPr>
              <w:t xml:space="preserve"> The ACNC’s Director of Reporting</w:t>
            </w:r>
            <w:r w:rsidR="00DE196B" w:rsidRPr="008C1E72">
              <w:rPr>
                <w:rFonts w:cs="Calibri"/>
                <w:color w:val="1F497D" w:themeColor="text2"/>
                <w:szCs w:val="22"/>
              </w:rPr>
              <w:t>,</w:t>
            </w:r>
            <w:r w:rsidR="005F4178" w:rsidRPr="008C1E72">
              <w:rPr>
                <w:rFonts w:cs="Calibri"/>
                <w:color w:val="1F497D" w:themeColor="text2"/>
                <w:szCs w:val="22"/>
              </w:rPr>
              <w:t xml:space="preserve"> Red Tape Reduction</w:t>
            </w:r>
            <w:r w:rsidR="00DE196B" w:rsidRPr="008C1E72">
              <w:rPr>
                <w:rFonts w:cs="Calibri"/>
                <w:color w:val="1F497D" w:themeColor="text2"/>
                <w:szCs w:val="22"/>
              </w:rPr>
              <w:t xml:space="preserve"> &amp; Corporate Services</w:t>
            </w:r>
            <w:r w:rsidR="005F4178" w:rsidRPr="008C1E72">
              <w:rPr>
                <w:rFonts w:cs="Calibri"/>
                <w:color w:val="1F497D" w:themeColor="text2"/>
                <w:szCs w:val="22"/>
              </w:rPr>
              <w:t>, Melville Yates, was also a regular guest on CPA Australia’s podcast, recording four episodes with them over the year.</w:t>
            </w:r>
          </w:p>
          <w:p w14:paraId="60765789" w14:textId="77777777" w:rsidR="00912C5B" w:rsidRPr="008C1E72" w:rsidRDefault="00912C5B" w:rsidP="00912C5B">
            <w:pPr>
              <w:rPr>
                <w:rFonts w:cs="Calibri"/>
                <w:color w:val="1F497D" w:themeColor="text2"/>
                <w:szCs w:val="22"/>
              </w:rPr>
            </w:pPr>
            <w:r w:rsidRPr="008C1E72">
              <w:rPr>
                <w:rFonts w:cs="Calibri"/>
                <w:color w:val="1F497D" w:themeColor="text2"/>
                <w:szCs w:val="22"/>
              </w:rPr>
              <w:t>Short videos are a great way to show people how to manage required tasks such as using the Charity Portal. We also published 1</w:t>
            </w:r>
            <w:r w:rsidR="008F462A" w:rsidRPr="008C1E72">
              <w:rPr>
                <w:rFonts w:cs="Calibri"/>
                <w:color w:val="1F497D" w:themeColor="text2"/>
                <w:szCs w:val="22"/>
              </w:rPr>
              <w:t>1</w:t>
            </w:r>
            <w:r w:rsidRPr="008C1E72">
              <w:rPr>
                <w:rFonts w:cs="Calibri"/>
                <w:color w:val="1F497D" w:themeColor="text2"/>
                <w:szCs w:val="22"/>
              </w:rPr>
              <w:t xml:space="preserve"> ‘how-to’ videos – topics included how to submit the Annual Information Statement.</w:t>
            </w:r>
          </w:p>
          <w:p w14:paraId="37091C9B" w14:textId="6958E3A8" w:rsidR="00167A4A" w:rsidRPr="008C1E72" w:rsidRDefault="002E196A" w:rsidP="00912C5B">
            <w:pPr>
              <w:rPr>
                <w:rFonts w:cs="Calibri"/>
                <w:color w:val="1F497D" w:themeColor="text2"/>
                <w:szCs w:val="22"/>
              </w:rPr>
            </w:pPr>
            <w:r w:rsidRPr="008C1E72">
              <w:rPr>
                <w:rFonts w:cs="Calibri"/>
                <w:color w:val="1F497D" w:themeColor="text2"/>
                <w:szCs w:val="22"/>
              </w:rPr>
              <w:t xml:space="preserve">The ACNC team travelled widely this year to talk about what we do, why we do it and how we can help charities understand and meet their regulatory obligations. In </w:t>
            </w:r>
            <w:r w:rsidR="00912C5B" w:rsidRPr="008C1E72">
              <w:rPr>
                <w:rFonts w:cs="Calibri"/>
                <w:color w:val="1F497D" w:themeColor="text2"/>
                <w:szCs w:val="22"/>
              </w:rPr>
              <w:t xml:space="preserve">2017-18 we participated in </w:t>
            </w:r>
            <w:r w:rsidR="00780FF0" w:rsidRPr="008C1E72">
              <w:rPr>
                <w:rFonts w:cs="Calibri"/>
                <w:color w:val="1F497D" w:themeColor="text2"/>
                <w:szCs w:val="22"/>
              </w:rPr>
              <w:t>2</w:t>
            </w:r>
            <w:r w:rsidR="00780FF0">
              <w:rPr>
                <w:rFonts w:cs="Calibri"/>
                <w:color w:val="1F497D" w:themeColor="text2"/>
                <w:szCs w:val="22"/>
              </w:rPr>
              <w:t>7</w:t>
            </w:r>
            <w:r w:rsidR="00780FF0" w:rsidRPr="008C1E72">
              <w:rPr>
                <w:rFonts w:cs="Calibri"/>
                <w:color w:val="1F497D" w:themeColor="text2"/>
                <w:szCs w:val="22"/>
              </w:rPr>
              <w:t xml:space="preserve">9 </w:t>
            </w:r>
            <w:r w:rsidR="00912C5B" w:rsidRPr="008C1E72">
              <w:rPr>
                <w:rFonts w:cs="Calibri"/>
                <w:color w:val="1F497D" w:themeColor="text2"/>
                <w:szCs w:val="22"/>
              </w:rPr>
              <w:t xml:space="preserve">stakeholder meetings </w:t>
            </w:r>
            <w:r w:rsidRPr="008C1E72">
              <w:rPr>
                <w:rFonts w:cs="Calibri"/>
                <w:color w:val="1F497D" w:themeColor="text2"/>
                <w:szCs w:val="22"/>
              </w:rPr>
              <w:t>on various issues in the charity sector in every state and territory in Australia.</w:t>
            </w:r>
          </w:p>
          <w:p w14:paraId="739B271E" w14:textId="77777777" w:rsidR="005F4178" w:rsidRPr="008C1E72" w:rsidRDefault="00167A4A" w:rsidP="00912C5B">
            <w:pPr>
              <w:rPr>
                <w:rFonts w:cs="Calibri"/>
                <w:color w:val="1F497D" w:themeColor="text2"/>
                <w:szCs w:val="22"/>
              </w:rPr>
            </w:pPr>
            <w:r w:rsidRPr="008C1E72">
              <w:rPr>
                <w:rFonts w:cs="Calibri"/>
                <w:color w:val="1F497D" w:themeColor="text2"/>
                <w:szCs w:val="22"/>
              </w:rPr>
              <w:t xml:space="preserve">We continued to use charities' reporting behaviour to tailor email communications, with a goal of improving on-time reporting submissions. </w:t>
            </w:r>
            <w:r w:rsidR="002E196A" w:rsidRPr="008C1E72">
              <w:rPr>
                <w:rFonts w:cs="Calibri"/>
                <w:color w:val="1F497D" w:themeColor="text2"/>
                <w:szCs w:val="22"/>
              </w:rPr>
              <w:t xml:space="preserve">  </w:t>
            </w:r>
          </w:p>
        </w:tc>
      </w:tr>
      <w:tr w:rsidR="002E196A" w:rsidRPr="008C1E72" w14:paraId="4B245A01" w14:textId="77777777" w:rsidTr="00EC0921">
        <w:trPr>
          <w:trHeight w:val="708"/>
        </w:trPr>
        <w:tc>
          <w:tcPr>
            <w:tcW w:w="93" w:type="pct"/>
            <w:gridSpan w:val="2"/>
            <w:vMerge/>
            <w:tcBorders>
              <w:bottom w:val="nil"/>
            </w:tcBorders>
            <w:shd w:val="clear" w:color="auto" w:fill="D9D9D9" w:themeFill="background1" w:themeFillShade="D9"/>
            <w:vAlign w:val="center"/>
          </w:tcPr>
          <w:p w14:paraId="7391D13A" w14:textId="77777777" w:rsidR="002E196A" w:rsidRPr="008C1E72" w:rsidRDefault="002E196A" w:rsidP="002E196A">
            <w:pPr>
              <w:suppressAutoHyphens/>
              <w:jc w:val="center"/>
              <w:rPr>
                <w:rFonts w:cs="Calibri"/>
                <w:b/>
                <w:color w:val="1F497D" w:themeColor="text2"/>
                <w:szCs w:val="22"/>
                <w:lang w:val="en-GB"/>
              </w:rPr>
            </w:pPr>
          </w:p>
        </w:tc>
        <w:tc>
          <w:tcPr>
            <w:tcW w:w="631" w:type="pct"/>
            <w:gridSpan w:val="2"/>
            <w:vMerge/>
            <w:shd w:val="clear" w:color="auto" w:fill="auto"/>
            <w:vAlign w:val="center"/>
          </w:tcPr>
          <w:p w14:paraId="3C14889E" w14:textId="77777777" w:rsidR="002E196A" w:rsidRPr="008C1E72" w:rsidRDefault="002E196A" w:rsidP="002E196A">
            <w:pPr>
              <w:spacing w:after="0"/>
              <w:rPr>
                <w:rFonts w:cs="Calibri"/>
                <w:color w:val="1F497D" w:themeColor="text2"/>
                <w:szCs w:val="22"/>
                <w:lang w:val="en-GB"/>
              </w:rPr>
            </w:pPr>
          </w:p>
        </w:tc>
        <w:tc>
          <w:tcPr>
            <w:tcW w:w="157" w:type="pct"/>
            <w:gridSpan w:val="2"/>
            <w:shd w:val="clear" w:color="auto" w:fill="D9D9D9" w:themeFill="background1" w:themeFillShade="D9"/>
            <w:vAlign w:val="center"/>
          </w:tcPr>
          <w:p w14:paraId="7AC9FAA0" w14:textId="77777777" w:rsidR="002E196A" w:rsidRPr="008C1E72" w:rsidRDefault="002E196A" w:rsidP="002E196A">
            <w:pPr>
              <w:suppressAutoHyphens/>
              <w:jc w:val="center"/>
              <w:rPr>
                <w:rFonts w:cs="Calibri"/>
                <w:b/>
                <w:szCs w:val="22"/>
                <w:lang w:val="en-GB"/>
              </w:rPr>
            </w:pPr>
            <w:r w:rsidRPr="008C1E72">
              <w:rPr>
                <w:rFonts w:cs="Calibri"/>
                <w:b/>
                <w:szCs w:val="22"/>
                <w:lang w:val="en-GB"/>
              </w:rPr>
              <w:t>2.2</w:t>
            </w:r>
          </w:p>
        </w:tc>
        <w:tc>
          <w:tcPr>
            <w:tcW w:w="709" w:type="pct"/>
            <w:tcBorders>
              <w:bottom w:val="single" w:sz="4" w:space="0" w:color="auto"/>
            </w:tcBorders>
            <w:shd w:val="clear" w:color="auto" w:fill="auto"/>
            <w:vAlign w:val="center"/>
          </w:tcPr>
          <w:p w14:paraId="31A0B52D" w14:textId="77777777" w:rsidR="002E196A" w:rsidRPr="008C1E72" w:rsidRDefault="002E196A" w:rsidP="002E196A">
            <w:pPr>
              <w:spacing w:after="0"/>
              <w:rPr>
                <w:rFonts w:cs="Calibri"/>
                <w:b/>
                <w:szCs w:val="22"/>
                <w:lang w:val="en-GB"/>
              </w:rPr>
            </w:pPr>
            <w:r w:rsidRPr="008C1E72">
              <w:rPr>
                <w:rFonts w:cs="Calibri"/>
                <w:b/>
                <w:szCs w:val="22"/>
                <w:lang w:val="en-GB"/>
              </w:rPr>
              <w:t>Compliance with the Australian Government accessibility guidelines</w:t>
            </w:r>
          </w:p>
        </w:tc>
        <w:tc>
          <w:tcPr>
            <w:tcW w:w="915" w:type="pct"/>
            <w:gridSpan w:val="2"/>
            <w:tcBorders>
              <w:bottom w:val="single" w:sz="4" w:space="0" w:color="auto"/>
            </w:tcBorders>
            <w:vAlign w:val="center"/>
          </w:tcPr>
          <w:p w14:paraId="7D534C4C" w14:textId="77777777" w:rsidR="002E196A" w:rsidRPr="008C1E72" w:rsidRDefault="00260615" w:rsidP="002E196A">
            <w:pPr>
              <w:spacing w:after="0"/>
              <w:rPr>
                <w:rFonts w:cs="Calibri"/>
                <w:color w:val="1F497D" w:themeColor="text2"/>
                <w:szCs w:val="22"/>
                <w:lang w:val="en-GB"/>
              </w:rPr>
            </w:pPr>
            <w:r w:rsidRPr="008C1E72">
              <w:rPr>
                <w:rFonts w:cs="Calibri"/>
                <w:color w:val="1F497D" w:themeColor="text2"/>
                <w:szCs w:val="22"/>
                <w:lang w:val="en-GB"/>
              </w:rPr>
              <w:t xml:space="preserve">Accessibility of acnc.gov.au </w:t>
            </w:r>
          </w:p>
          <w:p w14:paraId="7FA2EE5A" w14:textId="77777777" w:rsidR="002E196A" w:rsidRPr="008C1E72" w:rsidRDefault="002E196A" w:rsidP="002E196A">
            <w:pPr>
              <w:spacing w:after="0"/>
              <w:rPr>
                <w:rFonts w:cs="Calibri"/>
                <w:szCs w:val="22"/>
                <w:highlight w:val="yellow"/>
                <w:lang w:val="en-GB"/>
              </w:rPr>
            </w:pPr>
          </w:p>
        </w:tc>
        <w:tc>
          <w:tcPr>
            <w:tcW w:w="235" w:type="pct"/>
            <w:tcBorders>
              <w:bottom w:val="single" w:sz="4" w:space="0" w:color="auto"/>
            </w:tcBorders>
          </w:tcPr>
          <w:p w14:paraId="289EDE85" w14:textId="77777777" w:rsidR="00F87508" w:rsidRPr="008C1E72" w:rsidRDefault="00F87508" w:rsidP="002E196A">
            <w:pPr>
              <w:spacing w:after="0"/>
              <w:jc w:val="center"/>
              <w:rPr>
                <w:rFonts w:cs="Calibri"/>
                <w:noProof/>
                <w:color w:val="1F497D" w:themeColor="text2"/>
                <w:szCs w:val="22"/>
                <w:highlight w:val="yellow"/>
                <w:lang w:eastAsia="en-AU"/>
              </w:rPr>
            </w:pPr>
          </w:p>
          <w:p w14:paraId="71CB567A" w14:textId="77777777" w:rsidR="00F87508" w:rsidRPr="008C1E72" w:rsidRDefault="00F87508" w:rsidP="002E196A">
            <w:pPr>
              <w:spacing w:after="0"/>
              <w:jc w:val="center"/>
              <w:rPr>
                <w:rFonts w:cs="Calibri"/>
                <w:noProof/>
                <w:color w:val="1F497D" w:themeColor="text2"/>
                <w:szCs w:val="22"/>
                <w:highlight w:val="yellow"/>
                <w:lang w:eastAsia="en-AU"/>
              </w:rPr>
            </w:pPr>
          </w:p>
          <w:p w14:paraId="20C16F13" w14:textId="77777777" w:rsidR="00F87508" w:rsidRPr="008C1E72" w:rsidRDefault="00F87508" w:rsidP="002E196A">
            <w:pPr>
              <w:spacing w:after="0"/>
              <w:jc w:val="center"/>
              <w:rPr>
                <w:rFonts w:cs="Calibri"/>
                <w:noProof/>
                <w:color w:val="1F497D" w:themeColor="text2"/>
                <w:szCs w:val="22"/>
                <w:highlight w:val="yellow"/>
                <w:lang w:eastAsia="en-AU"/>
              </w:rPr>
            </w:pPr>
          </w:p>
          <w:p w14:paraId="37CEDCFB"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highlight w:val="yellow"/>
                <w:lang w:eastAsia="en-AU"/>
              </w:rPr>
              <mc:AlternateContent>
                <mc:Choice Requires="wps">
                  <w:drawing>
                    <wp:anchor distT="0" distB="0" distL="114300" distR="114300" simplePos="0" relativeHeight="251662848" behindDoc="0" locked="0" layoutInCell="1" allowOverlap="1" wp14:anchorId="2B1DC623" wp14:editId="3046F313">
                      <wp:simplePos x="0" y="0"/>
                      <wp:positionH relativeFrom="column">
                        <wp:posOffset>155391</wp:posOffset>
                      </wp:positionH>
                      <wp:positionV relativeFrom="paragraph">
                        <wp:posOffset>160284</wp:posOffset>
                      </wp:positionV>
                      <wp:extent cx="144780" cy="144780"/>
                      <wp:effectExtent l="19050" t="19050" r="45720" b="6477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E36C0A"/>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23FDC" id="Oval 1" o:spid="_x0000_s1026" style="position:absolute;margin-left:12.25pt;margin-top:12.6pt;width:11.4pt;height:1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" fillcolor="#e36c0a" strokecolor="#f2f2f2" strokeweight="3pt">
                      <v:shadow on="t" color="#4e6128" opacity=".5" offset="1pt"/>
                    </v:oval>
                  </w:pict>
                </mc:Fallback>
              </mc:AlternateContent>
            </w:r>
          </w:p>
        </w:tc>
        <w:tc>
          <w:tcPr>
            <w:tcW w:w="2260" w:type="pct"/>
            <w:tcBorders>
              <w:bottom w:val="single" w:sz="4" w:space="0" w:color="auto"/>
            </w:tcBorders>
            <w:vAlign w:val="center"/>
          </w:tcPr>
          <w:p w14:paraId="1600620D" w14:textId="77777777" w:rsidR="002E196A" w:rsidRPr="008C1E72" w:rsidRDefault="002E196A" w:rsidP="002E4EDE">
            <w:pPr>
              <w:spacing w:before="120"/>
              <w:rPr>
                <w:rFonts w:cs="Calibri"/>
                <w:color w:val="1F497D" w:themeColor="text2"/>
                <w:szCs w:val="22"/>
              </w:rPr>
            </w:pPr>
            <w:r w:rsidRPr="008C1E72">
              <w:rPr>
                <w:rFonts w:cs="Calibri"/>
                <w:color w:val="1F497D" w:themeColor="text2"/>
                <w:szCs w:val="22"/>
              </w:rPr>
              <w:t xml:space="preserve">The ACNC remains committed to improving the accessibility of our website content, acknowledging we are not yet meeting the Government’s Web Content Accessibility Guidelines (WCAG) Version 2.0. </w:t>
            </w:r>
          </w:p>
          <w:p w14:paraId="27BE5089" w14:textId="1222A609" w:rsidR="002E4EDE" w:rsidRPr="008C1E72" w:rsidRDefault="002E196A" w:rsidP="002E4EDE">
            <w:pPr>
              <w:spacing w:before="120"/>
              <w:rPr>
                <w:rFonts w:cs="Calibri"/>
              </w:rPr>
            </w:pPr>
            <w:r w:rsidRPr="008C1E72">
              <w:rPr>
                <w:rFonts w:cs="Calibri"/>
                <w:color w:val="1F497D" w:themeColor="text2"/>
                <w:szCs w:val="22"/>
              </w:rPr>
              <w:t xml:space="preserve">We undertook user-testing in 2015-16, however implementing the recommendations was difficult due to system constraints. </w:t>
            </w:r>
            <w:r w:rsidR="002E4EDE" w:rsidRPr="008C1E72">
              <w:rPr>
                <w:rFonts w:cs="Calibri"/>
                <w:color w:val="1F497D" w:themeColor="text2"/>
                <w:szCs w:val="22"/>
              </w:rPr>
              <w:t>The ACNC received funding in the 201</w:t>
            </w:r>
            <w:r w:rsidR="00DE196B" w:rsidRPr="008C1E72">
              <w:rPr>
                <w:rFonts w:cs="Calibri"/>
                <w:color w:val="1F497D" w:themeColor="text2"/>
                <w:szCs w:val="22"/>
              </w:rPr>
              <w:t>7</w:t>
            </w:r>
            <w:r w:rsidR="002E4EDE" w:rsidRPr="008C1E72">
              <w:rPr>
                <w:rFonts w:cs="Calibri"/>
                <w:color w:val="1F497D" w:themeColor="text2"/>
                <w:szCs w:val="22"/>
              </w:rPr>
              <w:t xml:space="preserve"> Federal Budget, which will allow us to upgrade our website’s content management system. The ACNC’s website will be relaunched </w:t>
            </w:r>
            <w:r w:rsidR="00780FF0">
              <w:rPr>
                <w:rFonts w:cs="Calibri"/>
                <w:color w:val="1F497D" w:themeColor="text2"/>
                <w:szCs w:val="22"/>
              </w:rPr>
              <w:t>in September 2018,</w:t>
            </w:r>
            <w:r w:rsidR="002E4EDE" w:rsidRPr="008C1E72">
              <w:rPr>
                <w:rFonts w:cs="Calibri"/>
                <w:color w:val="1F497D" w:themeColor="text2"/>
                <w:szCs w:val="22"/>
              </w:rPr>
              <w:t xml:space="preserve"> and will be fully compliant with the Government’s Web Content Accessibility Guidelines.</w:t>
            </w:r>
          </w:p>
        </w:tc>
      </w:tr>
      <w:tr w:rsidR="002E196A" w:rsidRPr="008C1E72" w14:paraId="0CE98B98" w14:textId="77777777" w:rsidTr="00EC0921">
        <w:trPr>
          <w:trHeight w:val="750"/>
        </w:trPr>
        <w:tc>
          <w:tcPr>
            <w:tcW w:w="93" w:type="pct"/>
            <w:gridSpan w:val="2"/>
            <w:tcBorders>
              <w:top w:val="nil"/>
            </w:tcBorders>
            <w:shd w:val="clear" w:color="auto" w:fill="D9D9D9" w:themeFill="background1" w:themeFillShade="D9"/>
            <w:vAlign w:val="center"/>
          </w:tcPr>
          <w:p w14:paraId="4C9DC815" w14:textId="77777777" w:rsidR="002E196A" w:rsidRPr="008C1E72" w:rsidRDefault="002E196A" w:rsidP="002E196A">
            <w:pPr>
              <w:suppressAutoHyphens/>
              <w:jc w:val="center"/>
              <w:rPr>
                <w:rFonts w:cs="Calibri"/>
                <w:b/>
                <w:color w:val="1F497D" w:themeColor="text2"/>
                <w:szCs w:val="22"/>
                <w:lang w:val="en-GB"/>
              </w:rPr>
            </w:pPr>
          </w:p>
        </w:tc>
        <w:tc>
          <w:tcPr>
            <w:tcW w:w="631" w:type="pct"/>
            <w:gridSpan w:val="2"/>
            <w:vMerge/>
            <w:shd w:val="clear" w:color="auto" w:fill="auto"/>
            <w:vAlign w:val="center"/>
          </w:tcPr>
          <w:p w14:paraId="5C11A0CC" w14:textId="77777777" w:rsidR="002E196A" w:rsidRPr="008C1E72" w:rsidRDefault="002E196A" w:rsidP="002E196A">
            <w:pPr>
              <w:spacing w:after="0"/>
              <w:rPr>
                <w:rFonts w:cs="Calibri"/>
                <w:color w:val="1F497D" w:themeColor="text2"/>
                <w:szCs w:val="22"/>
                <w:lang w:val="en-GB"/>
              </w:rPr>
            </w:pPr>
          </w:p>
        </w:tc>
        <w:tc>
          <w:tcPr>
            <w:tcW w:w="157" w:type="pct"/>
            <w:gridSpan w:val="2"/>
            <w:shd w:val="clear" w:color="auto" w:fill="D9D9D9" w:themeFill="background1" w:themeFillShade="D9"/>
            <w:vAlign w:val="center"/>
          </w:tcPr>
          <w:p w14:paraId="2B52A3C7" w14:textId="77777777" w:rsidR="002E196A" w:rsidRPr="008C1E72" w:rsidRDefault="002E196A" w:rsidP="002E196A">
            <w:pPr>
              <w:suppressAutoHyphens/>
              <w:jc w:val="center"/>
              <w:rPr>
                <w:rFonts w:cs="Calibri"/>
                <w:b/>
                <w:szCs w:val="22"/>
                <w:lang w:val="en-GB"/>
              </w:rPr>
            </w:pPr>
            <w:r w:rsidRPr="008C1E72">
              <w:rPr>
                <w:rFonts w:cs="Calibri"/>
                <w:b/>
                <w:szCs w:val="22"/>
                <w:lang w:val="en-GB"/>
              </w:rPr>
              <w:t>2.3</w:t>
            </w:r>
          </w:p>
        </w:tc>
        <w:tc>
          <w:tcPr>
            <w:tcW w:w="709" w:type="pct"/>
            <w:tcBorders>
              <w:bottom w:val="single" w:sz="4" w:space="0" w:color="auto"/>
            </w:tcBorders>
            <w:shd w:val="clear" w:color="auto" w:fill="auto"/>
            <w:vAlign w:val="center"/>
          </w:tcPr>
          <w:p w14:paraId="1C61D1D3" w14:textId="77777777" w:rsidR="002E196A" w:rsidRPr="008C1E72" w:rsidRDefault="002E196A" w:rsidP="002E196A">
            <w:pPr>
              <w:spacing w:after="0"/>
              <w:rPr>
                <w:rFonts w:cs="Calibri"/>
                <w:b/>
                <w:szCs w:val="22"/>
                <w:lang w:val="en-GB"/>
              </w:rPr>
            </w:pPr>
            <w:r w:rsidRPr="008C1E72">
              <w:rPr>
                <w:rFonts w:cs="Calibri"/>
                <w:b/>
                <w:szCs w:val="22"/>
                <w:lang w:val="en-GB"/>
              </w:rPr>
              <w:t>Drafts of Commissioner Interpretation Statements are provided for public comment</w:t>
            </w:r>
          </w:p>
        </w:tc>
        <w:tc>
          <w:tcPr>
            <w:tcW w:w="915" w:type="pct"/>
            <w:gridSpan w:val="2"/>
            <w:tcBorders>
              <w:bottom w:val="single" w:sz="4" w:space="0" w:color="auto"/>
            </w:tcBorders>
            <w:shd w:val="clear" w:color="auto" w:fill="auto"/>
            <w:vAlign w:val="center"/>
          </w:tcPr>
          <w:p w14:paraId="6FBB5EE5" w14:textId="77777777" w:rsidR="002E196A" w:rsidRPr="008C1E72" w:rsidRDefault="001952D7" w:rsidP="001952D7">
            <w:pPr>
              <w:spacing w:before="240" w:after="0"/>
              <w:rPr>
                <w:rFonts w:cs="Calibri"/>
                <w:color w:val="1F497D" w:themeColor="text2"/>
                <w:szCs w:val="22"/>
                <w:lang w:val="en-GB"/>
              </w:rPr>
            </w:pPr>
            <w:r w:rsidRPr="008C1E72">
              <w:rPr>
                <w:rFonts w:cs="Calibri"/>
                <w:color w:val="1F497D" w:themeColor="text2"/>
                <w:szCs w:val="22"/>
                <w:lang w:val="en-GB"/>
              </w:rPr>
              <w:t>Not applicable</w:t>
            </w:r>
          </w:p>
          <w:p w14:paraId="02346FD4" w14:textId="77777777" w:rsidR="002E196A" w:rsidRPr="008C1E72" w:rsidRDefault="002E196A" w:rsidP="002E196A">
            <w:pPr>
              <w:spacing w:after="0"/>
              <w:rPr>
                <w:rFonts w:cs="Calibri"/>
                <w:szCs w:val="22"/>
                <w:highlight w:val="yellow"/>
                <w:lang w:val="en-GB"/>
              </w:rPr>
            </w:pPr>
          </w:p>
        </w:tc>
        <w:tc>
          <w:tcPr>
            <w:tcW w:w="235" w:type="pct"/>
            <w:tcBorders>
              <w:bottom w:val="single" w:sz="4" w:space="0" w:color="auto"/>
            </w:tcBorders>
          </w:tcPr>
          <w:p w14:paraId="30B2DC94" w14:textId="77777777" w:rsidR="002E196A" w:rsidRPr="008C1E72" w:rsidRDefault="002E196A" w:rsidP="002E196A">
            <w:pPr>
              <w:spacing w:after="0"/>
              <w:jc w:val="center"/>
              <w:rPr>
                <w:rFonts w:cs="Calibri"/>
                <w:noProof/>
                <w:color w:val="1F497D" w:themeColor="text2"/>
                <w:szCs w:val="22"/>
                <w:highlight w:val="yellow"/>
                <w:lang w:eastAsia="en-AU"/>
              </w:rPr>
            </w:pPr>
          </w:p>
          <w:p w14:paraId="58C4D4F6"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2CE7E8E2" wp14:editId="57DDFCCB">
                  <wp:extent cx="201295" cy="213360"/>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tcBorders>
              <w:bottom w:val="single" w:sz="4" w:space="0" w:color="auto"/>
            </w:tcBorders>
            <w:vAlign w:val="center"/>
          </w:tcPr>
          <w:p w14:paraId="122ABEE1" w14:textId="77777777" w:rsidR="002E196A" w:rsidRPr="008C1E72" w:rsidRDefault="001952D7" w:rsidP="001952D7">
            <w:pPr>
              <w:rPr>
                <w:rFonts w:cs="Calibri"/>
                <w:color w:val="1F497D" w:themeColor="text2"/>
                <w:szCs w:val="22"/>
                <w:highlight w:val="yellow"/>
                <w:lang w:val="en-GB"/>
              </w:rPr>
            </w:pPr>
            <w:r w:rsidRPr="008C1E72">
              <w:rPr>
                <w:rFonts w:cs="Calibri"/>
                <w:color w:val="1F497D" w:themeColor="text2"/>
                <w:szCs w:val="22"/>
                <w:lang w:val="en-GB"/>
              </w:rPr>
              <w:t>There were no new Commissioner</w:t>
            </w:r>
            <w:r w:rsidR="00250070" w:rsidRPr="008C1E72">
              <w:rPr>
                <w:rFonts w:cs="Calibri"/>
                <w:color w:val="1F497D" w:themeColor="text2"/>
                <w:szCs w:val="22"/>
                <w:lang w:val="en-GB"/>
              </w:rPr>
              <w:t>’s</w:t>
            </w:r>
            <w:r w:rsidRPr="008C1E72">
              <w:rPr>
                <w:rFonts w:cs="Calibri"/>
                <w:color w:val="1F497D" w:themeColor="text2"/>
                <w:szCs w:val="22"/>
                <w:lang w:val="en-GB"/>
              </w:rPr>
              <w:t xml:space="preserve"> </w:t>
            </w:r>
            <w:r w:rsidR="00714F7E" w:rsidRPr="008C1E72">
              <w:rPr>
                <w:rFonts w:cs="Calibri"/>
                <w:color w:val="1F497D" w:themeColor="text2"/>
                <w:szCs w:val="22"/>
                <w:lang w:val="en-GB"/>
              </w:rPr>
              <w:t>Interpretation</w:t>
            </w:r>
            <w:r w:rsidRPr="008C1E72">
              <w:rPr>
                <w:rFonts w:cs="Calibri"/>
                <w:color w:val="1F497D" w:themeColor="text2"/>
                <w:szCs w:val="22"/>
                <w:lang w:val="en-GB"/>
              </w:rPr>
              <w:t xml:space="preserve"> Statements in 2017-18.</w:t>
            </w:r>
          </w:p>
        </w:tc>
      </w:tr>
      <w:tr w:rsidR="002E196A" w:rsidRPr="008C1E72" w14:paraId="2EAA2EAE" w14:textId="77777777" w:rsidTr="00760E04">
        <w:trPr>
          <w:trHeight w:val="467"/>
        </w:trPr>
        <w:tc>
          <w:tcPr>
            <w:tcW w:w="93" w:type="pct"/>
            <w:gridSpan w:val="2"/>
            <w:shd w:val="clear" w:color="auto" w:fill="D9D9D9" w:themeFill="background1" w:themeFillShade="D9"/>
            <w:vAlign w:val="center"/>
          </w:tcPr>
          <w:p w14:paraId="769CEF20" w14:textId="77777777" w:rsidR="002E196A" w:rsidRPr="008C1E72" w:rsidRDefault="002E196A" w:rsidP="002E196A">
            <w:pPr>
              <w:suppressAutoHyphens/>
              <w:jc w:val="center"/>
              <w:rPr>
                <w:rFonts w:cs="Calibri"/>
                <w:b/>
                <w:szCs w:val="22"/>
                <w:lang w:val="en-GB"/>
              </w:rPr>
            </w:pPr>
            <w:r w:rsidRPr="008C1E72">
              <w:rPr>
                <w:rFonts w:cs="Calibri"/>
                <w:b/>
                <w:szCs w:val="22"/>
                <w:lang w:val="en-GB"/>
              </w:rPr>
              <w:t>B</w:t>
            </w:r>
          </w:p>
        </w:tc>
        <w:tc>
          <w:tcPr>
            <w:tcW w:w="631" w:type="pct"/>
            <w:gridSpan w:val="2"/>
            <w:shd w:val="clear" w:color="auto" w:fill="auto"/>
            <w:vAlign w:val="center"/>
          </w:tcPr>
          <w:p w14:paraId="7D8EA591" w14:textId="77777777" w:rsidR="002E196A" w:rsidRPr="008C1E72" w:rsidRDefault="002E196A" w:rsidP="002E196A">
            <w:pPr>
              <w:spacing w:after="60"/>
              <w:rPr>
                <w:rFonts w:cs="Calibri"/>
                <w:szCs w:val="22"/>
                <w:lang w:val="en-GB"/>
              </w:rPr>
            </w:pPr>
            <w:r w:rsidRPr="008C1E72">
              <w:rPr>
                <w:rFonts w:cs="Calibri"/>
                <w:szCs w:val="22"/>
                <w:lang w:val="en-GB"/>
              </w:rPr>
              <w:t xml:space="preserve">Regulators consider the impact on regulated entities and engage with industry groups and representatives of the affected stakeholders before changing policies, </w:t>
            </w:r>
            <w:r w:rsidRPr="008C1E72">
              <w:rPr>
                <w:rFonts w:cs="Calibri"/>
                <w:szCs w:val="22"/>
                <w:lang w:val="en-GB"/>
              </w:rPr>
              <w:lastRenderedPageBreak/>
              <w:t>practices or service standards.</w:t>
            </w:r>
          </w:p>
        </w:tc>
        <w:tc>
          <w:tcPr>
            <w:tcW w:w="157" w:type="pct"/>
            <w:gridSpan w:val="2"/>
            <w:shd w:val="clear" w:color="auto" w:fill="D9D9D9" w:themeFill="background1" w:themeFillShade="D9"/>
            <w:vAlign w:val="center"/>
          </w:tcPr>
          <w:p w14:paraId="6472B11F" w14:textId="77777777" w:rsidR="002E196A" w:rsidRPr="008C1E72" w:rsidRDefault="002E196A" w:rsidP="002E196A">
            <w:pPr>
              <w:suppressAutoHyphens/>
              <w:jc w:val="center"/>
              <w:rPr>
                <w:rFonts w:cs="Calibri"/>
                <w:b/>
                <w:szCs w:val="22"/>
                <w:lang w:val="en-GB"/>
              </w:rPr>
            </w:pPr>
            <w:r w:rsidRPr="008C1E72">
              <w:rPr>
                <w:rFonts w:cs="Calibri"/>
                <w:b/>
                <w:szCs w:val="22"/>
                <w:lang w:val="en-GB"/>
              </w:rPr>
              <w:lastRenderedPageBreak/>
              <w:t>2.4</w:t>
            </w:r>
          </w:p>
        </w:tc>
        <w:tc>
          <w:tcPr>
            <w:tcW w:w="1624" w:type="pct"/>
            <w:gridSpan w:val="3"/>
            <w:shd w:val="clear" w:color="auto" w:fill="auto"/>
            <w:vAlign w:val="center"/>
          </w:tcPr>
          <w:p w14:paraId="1F01DF6F" w14:textId="77777777" w:rsidR="002E196A" w:rsidRPr="008C1E72" w:rsidRDefault="002E196A" w:rsidP="002E196A">
            <w:pPr>
              <w:spacing w:after="0"/>
              <w:rPr>
                <w:rFonts w:cs="Calibri"/>
                <w:b/>
                <w:szCs w:val="22"/>
                <w:highlight w:val="yellow"/>
                <w:lang w:val="en-GB"/>
              </w:rPr>
            </w:pPr>
            <w:r w:rsidRPr="008C1E72">
              <w:rPr>
                <w:rFonts w:cs="Calibri"/>
                <w:b/>
                <w:szCs w:val="22"/>
                <w:lang w:val="en-GB"/>
              </w:rPr>
              <w:t>See 1.1, 1.2, 1.4, 6.1, 6.2 and 6.3</w:t>
            </w:r>
          </w:p>
        </w:tc>
        <w:tc>
          <w:tcPr>
            <w:tcW w:w="235" w:type="pct"/>
          </w:tcPr>
          <w:p w14:paraId="25E571C1" w14:textId="77777777" w:rsidR="002E196A" w:rsidRPr="008C1E72" w:rsidRDefault="002E196A" w:rsidP="002E196A">
            <w:pPr>
              <w:spacing w:after="0"/>
              <w:jc w:val="center"/>
              <w:rPr>
                <w:rFonts w:cs="Calibri"/>
                <w:noProof/>
                <w:color w:val="1F497D" w:themeColor="text2"/>
                <w:szCs w:val="22"/>
                <w:highlight w:val="yellow"/>
                <w:lang w:eastAsia="en-AU"/>
              </w:rPr>
            </w:pPr>
          </w:p>
          <w:p w14:paraId="6E49B714" w14:textId="77777777" w:rsidR="00F87508" w:rsidRPr="008C1E72" w:rsidRDefault="00F87508" w:rsidP="002E196A">
            <w:pPr>
              <w:spacing w:after="0"/>
              <w:jc w:val="center"/>
              <w:rPr>
                <w:rFonts w:cs="Calibri"/>
                <w:noProof/>
                <w:color w:val="1F497D" w:themeColor="text2"/>
                <w:szCs w:val="22"/>
                <w:lang w:eastAsia="en-AU"/>
              </w:rPr>
            </w:pPr>
          </w:p>
          <w:p w14:paraId="1D015C6D" w14:textId="77777777" w:rsidR="002E196A" w:rsidRPr="008C1E72" w:rsidRDefault="002E196A" w:rsidP="00167A4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7A37D7A7" wp14:editId="4B590EB0">
                  <wp:extent cx="201295" cy="21336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vAlign w:val="center"/>
          </w:tcPr>
          <w:p w14:paraId="58437346" w14:textId="77777777" w:rsidR="002E196A" w:rsidRPr="008C1E72" w:rsidRDefault="004027CE" w:rsidP="002E196A">
            <w:pPr>
              <w:spacing w:after="0"/>
              <w:rPr>
                <w:rFonts w:cs="Calibri"/>
                <w:i/>
                <w:color w:val="1F497D" w:themeColor="text2"/>
                <w:szCs w:val="22"/>
                <w:lang w:val="en-GB"/>
              </w:rPr>
            </w:pPr>
            <w:r w:rsidRPr="008C1E72">
              <w:rPr>
                <w:rFonts w:cs="Calibri"/>
                <w:i/>
                <w:color w:val="1F497D" w:themeColor="text2"/>
                <w:szCs w:val="22"/>
                <w:lang w:val="en-GB"/>
              </w:rPr>
              <w:t xml:space="preserve">For further information, refer to </w:t>
            </w:r>
            <w:r w:rsidR="002E196A" w:rsidRPr="008C1E72">
              <w:rPr>
                <w:rFonts w:cs="Calibri"/>
                <w:i/>
                <w:color w:val="1F497D" w:themeColor="text2"/>
                <w:szCs w:val="22"/>
                <w:lang w:val="en-GB"/>
              </w:rPr>
              <w:t>1.1, 1.2, 1.4, 6.1, 6.2 and 6.3</w:t>
            </w:r>
            <w:r w:rsidRPr="008C1E72">
              <w:rPr>
                <w:rFonts w:cs="Calibri"/>
                <w:i/>
                <w:color w:val="1F497D" w:themeColor="text2"/>
                <w:szCs w:val="22"/>
                <w:lang w:val="en-GB"/>
              </w:rPr>
              <w:t>.</w:t>
            </w:r>
          </w:p>
        </w:tc>
      </w:tr>
      <w:tr w:rsidR="002E196A" w:rsidRPr="008C1E72" w14:paraId="5892FB1B" w14:textId="77777777" w:rsidTr="00EC0921">
        <w:trPr>
          <w:trHeight w:val="936"/>
        </w:trPr>
        <w:tc>
          <w:tcPr>
            <w:tcW w:w="93" w:type="pct"/>
            <w:gridSpan w:val="2"/>
            <w:vMerge w:val="restart"/>
            <w:shd w:val="clear" w:color="auto" w:fill="D9D9D9" w:themeFill="background1" w:themeFillShade="D9"/>
            <w:vAlign w:val="center"/>
          </w:tcPr>
          <w:p w14:paraId="51CD926A" w14:textId="77777777" w:rsidR="002E196A" w:rsidRPr="008C1E72" w:rsidRDefault="002E196A" w:rsidP="002E196A">
            <w:pPr>
              <w:spacing w:after="0"/>
              <w:jc w:val="center"/>
              <w:rPr>
                <w:rFonts w:cs="Calibri"/>
                <w:b/>
                <w:szCs w:val="22"/>
                <w:lang w:val="en-GB"/>
              </w:rPr>
            </w:pPr>
            <w:r w:rsidRPr="008C1E72">
              <w:rPr>
                <w:rFonts w:cs="Calibri"/>
                <w:b/>
                <w:szCs w:val="22"/>
                <w:lang w:val="en-GB"/>
              </w:rPr>
              <w:t>C</w:t>
            </w:r>
          </w:p>
        </w:tc>
        <w:tc>
          <w:tcPr>
            <w:tcW w:w="631" w:type="pct"/>
            <w:gridSpan w:val="2"/>
            <w:vMerge w:val="restart"/>
            <w:shd w:val="clear" w:color="auto" w:fill="auto"/>
            <w:vAlign w:val="center"/>
          </w:tcPr>
          <w:p w14:paraId="5676D81B" w14:textId="77777777" w:rsidR="002E196A" w:rsidRPr="008C1E72" w:rsidRDefault="002E196A" w:rsidP="002E196A">
            <w:pPr>
              <w:spacing w:after="0"/>
              <w:rPr>
                <w:rFonts w:cs="Calibri"/>
                <w:szCs w:val="22"/>
                <w:lang w:val="en-GB"/>
              </w:rPr>
            </w:pPr>
            <w:r w:rsidRPr="008C1E72">
              <w:rPr>
                <w:rFonts w:cs="Calibri"/>
                <w:szCs w:val="22"/>
                <w:lang w:val="en-GB"/>
              </w:rPr>
              <w:t>Regulators’ decisions and advice are provided in a timely manner, clearly articulating expectations and the underlying reasons for decisions.</w:t>
            </w:r>
          </w:p>
        </w:tc>
        <w:tc>
          <w:tcPr>
            <w:tcW w:w="157" w:type="pct"/>
            <w:gridSpan w:val="2"/>
            <w:shd w:val="clear" w:color="auto" w:fill="D9D9D9" w:themeFill="background1" w:themeFillShade="D9"/>
            <w:vAlign w:val="center"/>
          </w:tcPr>
          <w:p w14:paraId="284D575B" w14:textId="77777777" w:rsidR="002E196A" w:rsidRPr="008C1E72" w:rsidRDefault="002E196A" w:rsidP="002E196A">
            <w:pPr>
              <w:spacing w:after="0"/>
              <w:jc w:val="center"/>
              <w:rPr>
                <w:rFonts w:cs="Calibri"/>
                <w:b/>
                <w:szCs w:val="22"/>
                <w:lang w:val="en-GB"/>
              </w:rPr>
            </w:pPr>
            <w:r w:rsidRPr="008C1E72">
              <w:rPr>
                <w:rFonts w:cs="Calibri"/>
                <w:b/>
                <w:szCs w:val="22"/>
                <w:lang w:val="en-GB"/>
              </w:rPr>
              <w:t>2.5</w:t>
            </w:r>
          </w:p>
        </w:tc>
        <w:tc>
          <w:tcPr>
            <w:tcW w:w="709" w:type="pct"/>
            <w:shd w:val="clear" w:color="auto" w:fill="auto"/>
            <w:vAlign w:val="center"/>
          </w:tcPr>
          <w:p w14:paraId="3A1D05D7" w14:textId="77777777" w:rsidR="002E196A" w:rsidRPr="008C1E72" w:rsidRDefault="002E196A" w:rsidP="002E196A">
            <w:pPr>
              <w:spacing w:after="0"/>
              <w:rPr>
                <w:rFonts w:cs="Calibri"/>
                <w:b/>
                <w:szCs w:val="22"/>
                <w:lang w:val="en-GB"/>
              </w:rPr>
            </w:pPr>
            <w:r w:rsidRPr="008C1E72">
              <w:rPr>
                <w:rFonts w:cs="Calibri"/>
                <w:b/>
                <w:szCs w:val="22"/>
                <w:lang w:val="en-GB"/>
              </w:rPr>
              <w:t>Applications for charity registration are determined within 15 business days of receiving all information</w:t>
            </w:r>
          </w:p>
        </w:tc>
        <w:tc>
          <w:tcPr>
            <w:tcW w:w="915" w:type="pct"/>
            <w:gridSpan w:val="2"/>
            <w:vAlign w:val="center"/>
          </w:tcPr>
          <w:p w14:paraId="0675E366" w14:textId="77777777" w:rsidR="002E196A" w:rsidRPr="008C1E72" w:rsidRDefault="001952D7" w:rsidP="002E196A">
            <w:pPr>
              <w:spacing w:after="0"/>
              <w:rPr>
                <w:rFonts w:cs="Calibri"/>
                <w:szCs w:val="22"/>
                <w:lang w:val="en-GB"/>
              </w:rPr>
            </w:pPr>
            <w:r w:rsidRPr="008C1E72">
              <w:rPr>
                <w:rFonts w:cs="Calibri"/>
                <w:color w:val="1F497D" w:themeColor="text2"/>
                <w:szCs w:val="22"/>
                <w:lang w:val="en-GB"/>
              </w:rPr>
              <w:t>In 2017-18, 98 per cent of registration applications were determined within 15 business days of receiving all information. This exceeded our service standard of 9</w:t>
            </w:r>
            <w:r w:rsidR="008F462A" w:rsidRPr="008C1E72">
              <w:rPr>
                <w:rFonts w:cs="Calibri"/>
                <w:color w:val="1F497D" w:themeColor="text2"/>
                <w:szCs w:val="22"/>
                <w:lang w:val="en-GB"/>
              </w:rPr>
              <w:t>5</w:t>
            </w:r>
            <w:r w:rsidRPr="008C1E72">
              <w:rPr>
                <w:rFonts w:cs="Calibri"/>
                <w:color w:val="1F497D" w:themeColor="text2"/>
                <w:szCs w:val="22"/>
                <w:lang w:val="en-GB"/>
              </w:rPr>
              <w:t xml:space="preserve"> per cent</w:t>
            </w:r>
            <w:r w:rsidR="002E196A" w:rsidRPr="008C1E72">
              <w:rPr>
                <w:rFonts w:cs="Calibri"/>
                <w:color w:val="1F497D" w:themeColor="text2"/>
                <w:szCs w:val="22"/>
                <w:lang w:val="en-GB"/>
              </w:rPr>
              <w:t>.</w:t>
            </w:r>
          </w:p>
        </w:tc>
        <w:tc>
          <w:tcPr>
            <w:tcW w:w="235" w:type="pct"/>
          </w:tcPr>
          <w:p w14:paraId="73A16ECF" w14:textId="77777777" w:rsidR="002E196A" w:rsidRPr="008C1E72" w:rsidRDefault="002E196A" w:rsidP="002E196A">
            <w:pPr>
              <w:spacing w:after="0"/>
              <w:jc w:val="center"/>
              <w:rPr>
                <w:rFonts w:cs="Calibri"/>
                <w:noProof/>
                <w:color w:val="1F497D" w:themeColor="text2"/>
                <w:szCs w:val="22"/>
                <w:highlight w:val="yellow"/>
                <w:lang w:eastAsia="en-AU"/>
              </w:rPr>
            </w:pPr>
          </w:p>
          <w:p w14:paraId="1324E23B" w14:textId="77777777" w:rsidR="00F87508" w:rsidRPr="008C1E72" w:rsidRDefault="00F87508" w:rsidP="002E196A">
            <w:pPr>
              <w:spacing w:after="0"/>
              <w:jc w:val="center"/>
              <w:rPr>
                <w:rFonts w:cs="Calibri"/>
                <w:noProof/>
                <w:color w:val="1F497D" w:themeColor="text2"/>
                <w:szCs w:val="22"/>
                <w:lang w:eastAsia="en-AU"/>
              </w:rPr>
            </w:pPr>
          </w:p>
          <w:p w14:paraId="09079B9F" w14:textId="77777777" w:rsidR="00F87508" w:rsidRPr="008C1E72" w:rsidRDefault="00F87508" w:rsidP="002E196A">
            <w:pPr>
              <w:spacing w:after="0"/>
              <w:jc w:val="center"/>
              <w:rPr>
                <w:rFonts w:cs="Calibri"/>
                <w:noProof/>
                <w:color w:val="1F497D" w:themeColor="text2"/>
                <w:szCs w:val="22"/>
                <w:lang w:eastAsia="en-AU"/>
              </w:rPr>
            </w:pPr>
          </w:p>
          <w:p w14:paraId="03E9E05B" w14:textId="77777777" w:rsidR="00F87508" w:rsidRPr="008C1E72" w:rsidRDefault="00F87508" w:rsidP="002E196A">
            <w:pPr>
              <w:spacing w:after="0"/>
              <w:jc w:val="center"/>
              <w:rPr>
                <w:rFonts w:cs="Calibri"/>
                <w:noProof/>
                <w:color w:val="1F497D" w:themeColor="text2"/>
                <w:szCs w:val="22"/>
                <w:lang w:eastAsia="en-AU"/>
              </w:rPr>
            </w:pPr>
          </w:p>
          <w:p w14:paraId="3E50C260" w14:textId="77777777" w:rsidR="00F87508" w:rsidRPr="008C1E72" w:rsidRDefault="00F87508" w:rsidP="002E196A">
            <w:pPr>
              <w:spacing w:after="0"/>
              <w:jc w:val="center"/>
              <w:rPr>
                <w:rFonts w:cs="Calibri"/>
                <w:noProof/>
                <w:color w:val="1F497D" w:themeColor="text2"/>
                <w:szCs w:val="22"/>
                <w:lang w:eastAsia="en-AU"/>
              </w:rPr>
            </w:pPr>
          </w:p>
          <w:p w14:paraId="3B3DA302" w14:textId="77777777" w:rsidR="00F87508" w:rsidRPr="008C1E72" w:rsidRDefault="00F87508" w:rsidP="002E196A">
            <w:pPr>
              <w:spacing w:after="0"/>
              <w:jc w:val="center"/>
              <w:rPr>
                <w:rFonts w:cs="Calibri"/>
                <w:noProof/>
                <w:color w:val="1F497D" w:themeColor="text2"/>
                <w:szCs w:val="22"/>
                <w:lang w:eastAsia="en-AU"/>
              </w:rPr>
            </w:pPr>
          </w:p>
          <w:p w14:paraId="46A35E2A" w14:textId="77777777" w:rsidR="00F87508" w:rsidRPr="008C1E72" w:rsidRDefault="00F87508" w:rsidP="002E196A">
            <w:pPr>
              <w:spacing w:after="0"/>
              <w:jc w:val="center"/>
              <w:rPr>
                <w:rFonts w:cs="Calibri"/>
                <w:noProof/>
                <w:color w:val="1F497D" w:themeColor="text2"/>
                <w:szCs w:val="22"/>
                <w:lang w:eastAsia="en-AU"/>
              </w:rPr>
            </w:pPr>
          </w:p>
          <w:p w14:paraId="04605451" w14:textId="77777777" w:rsidR="00F87508" w:rsidRPr="008C1E72" w:rsidRDefault="00F87508" w:rsidP="002E196A">
            <w:pPr>
              <w:spacing w:after="0"/>
              <w:jc w:val="center"/>
              <w:rPr>
                <w:rFonts w:cs="Calibri"/>
                <w:noProof/>
                <w:color w:val="1F497D" w:themeColor="text2"/>
                <w:szCs w:val="22"/>
                <w:lang w:eastAsia="en-AU"/>
              </w:rPr>
            </w:pPr>
          </w:p>
          <w:p w14:paraId="7E8F5FD8" w14:textId="77777777" w:rsidR="00F87508" w:rsidRPr="008C1E72" w:rsidRDefault="00F87508" w:rsidP="002E196A">
            <w:pPr>
              <w:spacing w:after="0"/>
              <w:jc w:val="center"/>
              <w:rPr>
                <w:rFonts w:cs="Calibri"/>
                <w:noProof/>
                <w:color w:val="1F497D" w:themeColor="text2"/>
                <w:szCs w:val="22"/>
                <w:lang w:eastAsia="en-AU"/>
              </w:rPr>
            </w:pPr>
          </w:p>
          <w:p w14:paraId="5D5CD90E" w14:textId="77777777" w:rsidR="00F87508" w:rsidRPr="008C1E72" w:rsidRDefault="00F87508" w:rsidP="002E196A">
            <w:pPr>
              <w:spacing w:after="0"/>
              <w:jc w:val="center"/>
              <w:rPr>
                <w:rFonts w:cs="Calibri"/>
                <w:noProof/>
                <w:color w:val="1F497D" w:themeColor="text2"/>
                <w:szCs w:val="22"/>
                <w:lang w:eastAsia="en-AU"/>
              </w:rPr>
            </w:pPr>
          </w:p>
          <w:p w14:paraId="4DFFC407"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32955ADE" wp14:editId="26CBC3D4">
                  <wp:extent cx="201295" cy="2133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shd w:val="clear" w:color="auto" w:fill="auto"/>
          </w:tcPr>
          <w:p w14:paraId="6810277E" w14:textId="77777777" w:rsidR="002E196A" w:rsidRPr="008C1E72" w:rsidRDefault="002E196A" w:rsidP="008963E0">
            <w:pPr>
              <w:pStyle w:val="BodyText2"/>
              <w:spacing w:before="120" w:after="120"/>
              <w:rPr>
                <w:rFonts w:cs="Calibri"/>
                <w:b/>
                <w:color w:val="1F497D" w:themeColor="text2"/>
              </w:rPr>
            </w:pPr>
            <w:r w:rsidRPr="008C1E72">
              <w:rPr>
                <w:rFonts w:cs="Calibri"/>
                <w:b/>
                <w:color w:val="1F497D" w:themeColor="text2"/>
              </w:rPr>
              <w:t>Registration timeliness</w:t>
            </w:r>
          </w:p>
          <w:p w14:paraId="4EC7FCA4" w14:textId="77777777" w:rsidR="001952D7" w:rsidRPr="008C1E72" w:rsidRDefault="002E196A" w:rsidP="002E196A">
            <w:pPr>
              <w:rPr>
                <w:rFonts w:cs="Calibri"/>
                <w:color w:val="1F497D" w:themeColor="text2"/>
                <w:szCs w:val="22"/>
                <w:lang w:val="en-GB"/>
              </w:rPr>
            </w:pPr>
            <w:r w:rsidRPr="008C1E72">
              <w:rPr>
                <w:rFonts w:cs="Calibri"/>
                <w:color w:val="1F497D" w:themeColor="text2"/>
                <w:szCs w:val="22"/>
                <w:lang w:val="en-GB"/>
              </w:rPr>
              <w:t>We provide a supportive and interactive registration process, recognising that most applicants have limited knowledge of charity law. Our service standard is to finalise</w:t>
            </w:r>
            <w:r w:rsidR="001952D7" w:rsidRPr="008C1E72">
              <w:rPr>
                <w:rFonts w:cs="Calibri"/>
                <w:color w:val="1F497D" w:themeColor="text2"/>
                <w:szCs w:val="22"/>
                <w:lang w:val="en-GB"/>
              </w:rPr>
              <w:t xml:space="preserve"> 9</w:t>
            </w:r>
            <w:r w:rsidR="006266E5" w:rsidRPr="008C1E72">
              <w:rPr>
                <w:rFonts w:cs="Calibri"/>
                <w:color w:val="1F497D" w:themeColor="text2"/>
                <w:szCs w:val="22"/>
                <w:lang w:val="en-GB"/>
              </w:rPr>
              <w:t>5</w:t>
            </w:r>
            <w:r w:rsidR="001952D7" w:rsidRPr="008C1E72">
              <w:rPr>
                <w:rFonts w:cs="Calibri"/>
                <w:color w:val="1F497D" w:themeColor="text2"/>
                <w:szCs w:val="22"/>
                <w:lang w:val="en-GB"/>
              </w:rPr>
              <w:t xml:space="preserve"> per cent of</w:t>
            </w:r>
            <w:r w:rsidRPr="008C1E72">
              <w:rPr>
                <w:rFonts w:cs="Calibri"/>
                <w:color w:val="1F497D" w:themeColor="text2"/>
                <w:szCs w:val="22"/>
                <w:lang w:val="en-GB"/>
              </w:rPr>
              <w:t xml:space="preserve"> applications within 15 business days of receiving all necessary information.</w:t>
            </w:r>
            <w:r w:rsidR="001952D7" w:rsidRPr="008C1E72">
              <w:rPr>
                <w:rFonts w:cs="Calibri"/>
                <w:color w:val="1F497D" w:themeColor="text2"/>
                <w:szCs w:val="22"/>
                <w:lang w:val="en-GB"/>
              </w:rPr>
              <w:t xml:space="preserve"> In 2017-18, we exceeded this service standar</w:t>
            </w:r>
            <w:r w:rsidR="004027CE" w:rsidRPr="008C1E72">
              <w:rPr>
                <w:rFonts w:cs="Calibri"/>
                <w:color w:val="1F497D" w:themeColor="text2"/>
                <w:szCs w:val="22"/>
                <w:lang w:val="en-GB"/>
              </w:rPr>
              <w:t>d</w:t>
            </w:r>
            <w:r w:rsidR="00403732" w:rsidRPr="008C1E72">
              <w:rPr>
                <w:rFonts w:cs="Calibri"/>
                <w:color w:val="1F497D" w:themeColor="text2"/>
                <w:szCs w:val="22"/>
                <w:lang w:val="en-GB"/>
              </w:rPr>
              <w:t xml:space="preserve"> by </w:t>
            </w:r>
            <w:r w:rsidR="009D7A95" w:rsidRPr="008C1E72">
              <w:rPr>
                <w:rFonts w:cs="Calibri"/>
                <w:color w:val="1F497D" w:themeColor="text2"/>
                <w:szCs w:val="22"/>
                <w:lang w:val="en-GB"/>
              </w:rPr>
              <w:t xml:space="preserve">three </w:t>
            </w:r>
            <w:r w:rsidR="00403732" w:rsidRPr="008C1E72">
              <w:rPr>
                <w:rFonts w:cs="Calibri"/>
                <w:color w:val="1F497D" w:themeColor="text2"/>
                <w:szCs w:val="22"/>
                <w:lang w:val="en-GB"/>
              </w:rPr>
              <w:t>per cent</w:t>
            </w:r>
            <w:r w:rsidR="002E4EDE" w:rsidRPr="008C1E72">
              <w:rPr>
                <w:rFonts w:cs="Calibri"/>
                <w:color w:val="1F497D" w:themeColor="text2"/>
                <w:szCs w:val="22"/>
                <w:lang w:val="en-GB"/>
              </w:rPr>
              <w:t xml:space="preserve">, finalising </w:t>
            </w:r>
            <w:r w:rsidR="00403732" w:rsidRPr="008C1E72">
              <w:rPr>
                <w:rFonts w:cs="Calibri"/>
                <w:color w:val="1F497D" w:themeColor="text2"/>
                <w:szCs w:val="22"/>
                <w:lang w:val="en-GB"/>
              </w:rPr>
              <w:t>98</w:t>
            </w:r>
            <w:r w:rsidR="004027CE" w:rsidRPr="008C1E72">
              <w:rPr>
                <w:rFonts w:cs="Calibri"/>
                <w:color w:val="1F497D" w:themeColor="text2"/>
                <w:szCs w:val="22"/>
                <w:lang w:val="en-GB"/>
              </w:rPr>
              <w:t xml:space="preserve"> per cent</w:t>
            </w:r>
            <w:r w:rsidR="002E4EDE" w:rsidRPr="008C1E72">
              <w:rPr>
                <w:rFonts w:cs="Calibri"/>
                <w:color w:val="1F497D" w:themeColor="text2"/>
                <w:szCs w:val="22"/>
                <w:lang w:val="en-GB"/>
              </w:rPr>
              <w:t xml:space="preserve"> of applications within 15 business days of receiving all necessary information</w:t>
            </w:r>
            <w:r w:rsidR="001952D7" w:rsidRPr="008C1E72">
              <w:rPr>
                <w:rFonts w:cs="Calibri"/>
                <w:color w:val="1F497D" w:themeColor="text2"/>
                <w:szCs w:val="22"/>
                <w:lang w:val="en-GB"/>
              </w:rPr>
              <w:t>.</w:t>
            </w:r>
          </w:p>
          <w:p w14:paraId="693400AF" w14:textId="77777777" w:rsidR="002E196A" w:rsidRPr="008C1E72" w:rsidRDefault="002E196A" w:rsidP="002E196A">
            <w:pPr>
              <w:rPr>
                <w:rFonts w:cs="Calibri"/>
                <w:color w:val="1F497D" w:themeColor="text2"/>
                <w:szCs w:val="22"/>
                <w:lang w:val="en-GB"/>
              </w:rPr>
            </w:pPr>
            <w:r w:rsidRPr="008C1E72">
              <w:rPr>
                <w:rFonts w:cs="Calibri"/>
                <w:color w:val="1F497D" w:themeColor="text2"/>
                <w:szCs w:val="22"/>
                <w:lang w:val="en-GB"/>
              </w:rPr>
              <w:t>The ACNC received 3,</w:t>
            </w:r>
            <w:r w:rsidR="001952D7" w:rsidRPr="008C1E72">
              <w:rPr>
                <w:rFonts w:cs="Calibri"/>
                <w:color w:val="1F497D" w:themeColor="text2"/>
                <w:szCs w:val="22"/>
                <w:lang w:val="en-GB"/>
              </w:rPr>
              <w:t>320 new</w:t>
            </w:r>
            <w:r w:rsidRPr="008C1E72">
              <w:rPr>
                <w:rFonts w:cs="Calibri"/>
                <w:color w:val="1F497D" w:themeColor="text2"/>
                <w:szCs w:val="22"/>
                <w:lang w:val="en-GB"/>
              </w:rPr>
              <w:t xml:space="preserve"> applications for char</w:t>
            </w:r>
            <w:r w:rsidR="001952D7" w:rsidRPr="008C1E72">
              <w:rPr>
                <w:rFonts w:cs="Calibri"/>
                <w:color w:val="1F497D" w:themeColor="text2"/>
                <w:szCs w:val="22"/>
                <w:lang w:val="en-GB"/>
              </w:rPr>
              <w:t>ity registration during 2017-18</w:t>
            </w:r>
            <w:r w:rsidRPr="008C1E72">
              <w:rPr>
                <w:rFonts w:cs="Calibri"/>
                <w:color w:val="1F497D" w:themeColor="text2"/>
                <w:szCs w:val="22"/>
                <w:lang w:val="en-GB"/>
              </w:rPr>
              <w:t xml:space="preserve">. </w:t>
            </w:r>
            <w:r w:rsidR="002E4EDE" w:rsidRPr="008C1E72">
              <w:rPr>
                <w:rFonts w:cs="Calibri"/>
                <w:color w:val="1F497D" w:themeColor="text2"/>
                <w:szCs w:val="22"/>
                <w:lang w:val="en-GB"/>
              </w:rPr>
              <w:t xml:space="preserve">Additionally, </w:t>
            </w:r>
            <w:r w:rsidR="001952D7" w:rsidRPr="008C1E72">
              <w:rPr>
                <w:rFonts w:cs="Calibri"/>
                <w:color w:val="1F497D" w:themeColor="text2"/>
                <w:szCs w:val="22"/>
                <w:lang w:val="en-GB"/>
              </w:rPr>
              <w:t xml:space="preserve">241 re-registration applications </w:t>
            </w:r>
            <w:r w:rsidRPr="008C1E72">
              <w:rPr>
                <w:rFonts w:cs="Calibri"/>
                <w:color w:val="1F497D" w:themeColor="text2"/>
                <w:szCs w:val="22"/>
                <w:lang w:val="en-GB"/>
              </w:rPr>
              <w:t xml:space="preserve">were received from double-defaulter charities whose charity status was revoked due to failure to lodge two Annual Information Statements. </w:t>
            </w:r>
          </w:p>
          <w:p w14:paraId="0B0B2300" w14:textId="77777777" w:rsidR="002E196A" w:rsidRPr="008C1E72" w:rsidRDefault="002E196A" w:rsidP="002E196A">
            <w:pPr>
              <w:spacing w:after="0"/>
              <w:rPr>
                <w:rFonts w:cs="Calibri"/>
                <w:color w:val="1F497D" w:themeColor="text2"/>
                <w:szCs w:val="22"/>
                <w:lang w:val="en-GB"/>
              </w:rPr>
            </w:pPr>
            <w:r w:rsidRPr="008C1E72">
              <w:rPr>
                <w:rFonts w:cs="Calibri"/>
                <w:color w:val="1F497D" w:themeColor="text2"/>
                <w:szCs w:val="22"/>
                <w:lang w:val="en-GB"/>
              </w:rPr>
              <w:t>Of the applic</w:t>
            </w:r>
            <w:r w:rsidR="00260615" w:rsidRPr="008C1E72">
              <w:rPr>
                <w:rFonts w:cs="Calibri"/>
                <w:color w:val="1F497D" w:themeColor="text2"/>
                <w:szCs w:val="22"/>
                <w:lang w:val="en-GB"/>
              </w:rPr>
              <w:t>ations received, together with 643</w:t>
            </w:r>
            <w:r w:rsidRPr="008C1E72">
              <w:rPr>
                <w:rFonts w:cs="Calibri"/>
                <w:color w:val="1F497D" w:themeColor="text2"/>
                <w:szCs w:val="22"/>
                <w:lang w:val="en-GB"/>
              </w:rPr>
              <w:t xml:space="preserve"> that were on hand from the previous year:</w:t>
            </w:r>
          </w:p>
          <w:p w14:paraId="454A8048" w14:textId="77777777" w:rsidR="00260615" w:rsidRPr="008C1E72" w:rsidRDefault="00260615" w:rsidP="002E196A">
            <w:pPr>
              <w:spacing w:after="0"/>
              <w:rPr>
                <w:rFonts w:cs="Calibri"/>
                <w:color w:val="1F497D" w:themeColor="text2"/>
                <w:szCs w:val="22"/>
                <w:lang w:val="en-GB"/>
              </w:rPr>
            </w:pPr>
          </w:p>
          <w:p w14:paraId="5628165B" w14:textId="77777777" w:rsidR="00260615" w:rsidRPr="008C1E72" w:rsidRDefault="00260615" w:rsidP="00114AC9">
            <w:pPr>
              <w:numPr>
                <w:ilvl w:val="0"/>
                <w:numId w:val="15"/>
              </w:numPr>
              <w:rPr>
                <w:rFonts w:cs="Calibri"/>
                <w:color w:val="1F497D" w:themeColor="text2"/>
                <w:szCs w:val="22"/>
              </w:rPr>
            </w:pPr>
            <w:r w:rsidRPr="008C1E72">
              <w:rPr>
                <w:rFonts w:cs="Calibri"/>
                <w:color w:val="1F497D" w:themeColor="text2"/>
                <w:szCs w:val="22"/>
              </w:rPr>
              <w:t>2,832 were registered or re-registered</w:t>
            </w:r>
          </w:p>
          <w:p w14:paraId="5AEE96D8" w14:textId="77777777" w:rsidR="00260615" w:rsidRPr="008C1E72" w:rsidRDefault="00260615" w:rsidP="00114AC9">
            <w:pPr>
              <w:numPr>
                <w:ilvl w:val="0"/>
                <w:numId w:val="15"/>
              </w:numPr>
              <w:rPr>
                <w:rFonts w:cs="Calibri"/>
                <w:color w:val="1F497D" w:themeColor="text2"/>
                <w:szCs w:val="22"/>
              </w:rPr>
            </w:pPr>
            <w:r w:rsidRPr="008C1E72">
              <w:rPr>
                <w:rFonts w:cs="Calibri"/>
                <w:color w:val="1F497D" w:themeColor="text2"/>
                <w:szCs w:val="22"/>
              </w:rPr>
              <w:t>43 were refused as they were not charitable</w:t>
            </w:r>
          </w:p>
          <w:p w14:paraId="0E1DCAFE" w14:textId="77777777" w:rsidR="00260615" w:rsidRPr="008C1E72" w:rsidRDefault="00260615" w:rsidP="00114AC9">
            <w:pPr>
              <w:numPr>
                <w:ilvl w:val="0"/>
                <w:numId w:val="15"/>
              </w:numPr>
              <w:rPr>
                <w:rFonts w:cs="Calibri"/>
                <w:color w:val="1F497D" w:themeColor="text2"/>
                <w:szCs w:val="22"/>
              </w:rPr>
            </w:pPr>
            <w:r w:rsidRPr="008C1E72">
              <w:rPr>
                <w:rFonts w:cs="Calibri"/>
                <w:color w:val="1F497D" w:themeColor="text2"/>
                <w:szCs w:val="22"/>
              </w:rPr>
              <w:t>213 were refused on the basis of insufficient information</w:t>
            </w:r>
            <w:r w:rsidR="00E13752" w:rsidRPr="008C1E72">
              <w:rPr>
                <w:rFonts w:cs="Calibri"/>
                <w:color w:val="1F497D" w:themeColor="text2"/>
                <w:szCs w:val="22"/>
              </w:rPr>
              <w:t xml:space="preserve"> to make a decision</w:t>
            </w:r>
          </w:p>
          <w:p w14:paraId="280122AE" w14:textId="77777777" w:rsidR="00260615" w:rsidRPr="008C1E72" w:rsidRDefault="00260615" w:rsidP="00114AC9">
            <w:pPr>
              <w:numPr>
                <w:ilvl w:val="0"/>
                <w:numId w:val="15"/>
              </w:numPr>
              <w:rPr>
                <w:rFonts w:cs="Calibri"/>
                <w:color w:val="1F497D" w:themeColor="text2"/>
                <w:szCs w:val="22"/>
              </w:rPr>
            </w:pPr>
            <w:r w:rsidRPr="008C1E72">
              <w:rPr>
                <w:rFonts w:cs="Calibri"/>
                <w:color w:val="1F497D" w:themeColor="text2"/>
                <w:szCs w:val="22"/>
              </w:rPr>
              <w:t>689 were withdrawn</w:t>
            </w:r>
          </w:p>
          <w:p w14:paraId="4E9C2DB9" w14:textId="77777777" w:rsidR="00260615" w:rsidRPr="008C1E72" w:rsidRDefault="00260615" w:rsidP="00114AC9">
            <w:pPr>
              <w:numPr>
                <w:ilvl w:val="0"/>
                <w:numId w:val="15"/>
              </w:numPr>
              <w:rPr>
                <w:rFonts w:cs="Calibri"/>
                <w:color w:val="1F497D" w:themeColor="text2"/>
                <w:lang w:val="en-GB"/>
              </w:rPr>
            </w:pPr>
            <w:r w:rsidRPr="008C1E72">
              <w:rPr>
                <w:rFonts w:cs="Calibri"/>
                <w:color w:val="1F497D" w:themeColor="text2"/>
                <w:szCs w:val="22"/>
              </w:rPr>
              <w:t>427 were still in-progress</w:t>
            </w:r>
            <w:r w:rsidR="004027CE" w:rsidRPr="008C1E72">
              <w:rPr>
                <w:rFonts w:cs="Calibri"/>
                <w:color w:val="1F497D" w:themeColor="text2"/>
                <w:szCs w:val="22"/>
              </w:rPr>
              <w:t xml:space="preserve"> at the end of 2017-18</w:t>
            </w:r>
            <w:r w:rsidRPr="008C1E72">
              <w:rPr>
                <w:rFonts w:cs="Calibri"/>
                <w:color w:val="1F497D" w:themeColor="text2"/>
                <w:szCs w:val="22"/>
              </w:rPr>
              <w:t>.</w:t>
            </w:r>
          </w:p>
        </w:tc>
      </w:tr>
      <w:tr w:rsidR="002E196A" w:rsidRPr="008C1E72" w14:paraId="4C1E9493" w14:textId="77777777" w:rsidTr="00EC0921">
        <w:trPr>
          <w:trHeight w:val="704"/>
        </w:trPr>
        <w:tc>
          <w:tcPr>
            <w:tcW w:w="93" w:type="pct"/>
            <w:gridSpan w:val="2"/>
            <w:vMerge/>
            <w:shd w:val="clear" w:color="auto" w:fill="D9D9D9" w:themeFill="background1" w:themeFillShade="D9"/>
            <w:vAlign w:val="center"/>
          </w:tcPr>
          <w:p w14:paraId="19B8200A" w14:textId="77777777" w:rsidR="002E196A" w:rsidRPr="008C1E72" w:rsidRDefault="002E196A" w:rsidP="002E196A">
            <w:pPr>
              <w:spacing w:after="0"/>
              <w:jc w:val="center"/>
              <w:rPr>
                <w:rFonts w:cs="Calibri"/>
                <w:b/>
                <w:szCs w:val="22"/>
                <w:lang w:val="en-GB"/>
              </w:rPr>
            </w:pPr>
          </w:p>
        </w:tc>
        <w:tc>
          <w:tcPr>
            <w:tcW w:w="631" w:type="pct"/>
            <w:gridSpan w:val="2"/>
            <w:vMerge/>
            <w:shd w:val="clear" w:color="auto" w:fill="auto"/>
            <w:vAlign w:val="center"/>
          </w:tcPr>
          <w:p w14:paraId="47B1E252" w14:textId="77777777" w:rsidR="002E196A" w:rsidRPr="008C1E72" w:rsidRDefault="002E196A" w:rsidP="002E196A">
            <w:pPr>
              <w:suppressAutoHyphens/>
              <w:rPr>
                <w:rFonts w:cs="Calibri"/>
                <w:szCs w:val="22"/>
                <w:lang w:val="en-GB"/>
              </w:rPr>
            </w:pPr>
          </w:p>
        </w:tc>
        <w:tc>
          <w:tcPr>
            <w:tcW w:w="157" w:type="pct"/>
            <w:gridSpan w:val="2"/>
            <w:shd w:val="clear" w:color="auto" w:fill="D9D9D9" w:themeFill="background1" w:themeFillShade="D9"/>
            <w:vAlign w:val="center"/>
          </w:tcPr>
          <w:p w14:paraId="0E443098" w14:textId="77777777" w:rsidR="002E196A" w:rsidRPr="008C1E72" w:rsidRDefault="002E196A" w:rsidP="002E196A">
            <w:pPr>
              <w:spacing w:after="0"/>
              <w:jc w:val="center"/>
              <w:rPr>
                <w:rFonts w:cs="Calibri"/>
                <w:b/>
                <w:szCs w:val="22"/>
                <w:lang w:val="en-GB"/>
              </w:rPr>
            </w:pPr>
            <w:r w:rsidRPr="008C1E72">
              <w:rPr>
                <w:rFonts w:cs="Calibri"/>
                <w:b/>
                <w:szCs w:val="22"/>
                <w:lang w:val="en-GB"/>
              </w:rPr>
              <w:t>2.6</w:t>
            </w:r>
          </w:p>
        </w:tc>
        <w:tc>
          <w:tcPr>
            <w:tcW w:w="709" w:type="pct"/>
            <w:shd w:val="clear" w:color="auto" w:fill="auto"/>
            <w:vAlign w:val="center"/>
          </w:tcPr>
          <w:p w14:paraId="6908F1A9" w14:textId="77777777" w:rsidR="002E196A" w:rsidRPr="008C1E72" w:rsidRDefault="002E196A" w:rsidP="002E196A">
            <w:pPr>
              <w:spacing w:after="0"/>
              <w:rPr>
                <w:rFonts w:cs="Calibri"/>
                <w:b/>
                <w:szCs w:val="22"/>
                <w:lang w:val="en-GB"/>
              </w:rPr>
            </w:pPr>
            <w:r w:rsidRPr="008C1E72">
              <w:rPr>
                <w:rFonts w:cs="Calibri"/>
                <w:b/>
                <w:szCs w:val="22"/>
                <w:lang w:val="en-GB"/>
              </w:rPr>
              <w:t>Refused applications for registration or remission of penalties are accompanied by a statement of reasons for decision</w:t>
            </w:r>
          </w:p>
        </w:tc>
        <w:tc>
          <w:tcPr>
            <w:tcW w:w="915" w:type="pct"/>
            <w:gridSpan w:val="2"/>
            <w:shd w:val="clear" w:color="auto" w:fill="auto"/>
            <w:vAlign w:val="center"/>
          </w:tcPr>
          <w:p w14:paraId="172BD450" w14:textId="77777777" w:rsidR="002E196A" w:rsidRPr="008C1E72" w:rsidRDefault="001952D7" w:rsidP="002E196A">
            <w:pPr>
              <w:spacing w:after="0"/>
              <w:rPr>
                <w:rFonts w:cs="Calibri"/>
                <w:color w:val="1F497D" w:themeColor="text2"/>
                <w:szCs w:val="22"/>
                <w:lang w:val="en-GB"/>
              </w:rPr>
            </w:pPr>
            <w:r w:rsidRPr="008C1E72">
              <w:rPr>
                <w:rFonts w:cs="Calibri"/>
                <w:color w:val="1F497D" w:themeColor="text2"/>
                <w:szCs w:val="22"/>
                <w:lang w:val="en-GB"/>
              </w:rPr>
              <w:t xml:space="preserve">In 2017-18, all refused applications </w:t>
            </w:r>
            <w:r w:rsidR="002E196A" w:rsidRPr="008C1E72">
              <w:rPr>
                <w:rFonts w:cs="Calibri"/>
                <w:color w:val="1F497D" w:themeColor="text2"/>
                <w:szCs w:val="22"/>
                <w:lang w:val="en-GB"/>
              </w:rPr>
              <w:t>were provided a statement of reasons for decision.</w:t>
            </w:r>
          </w:p>
          <w:p w14:paraId="077CB478" w14:textId="77777777" w:rsidR="002E196A" w:rsidRPr="008C1E72" w:rsidRDefault="002E196A" w:rsidP="002E196A">
            <w:pPr>
              <w:spacing w:after="0"/>
              <w:rPr>
                <w:rFonts w:cs="Calibri"/>
                <w:color w:val="1F497D" w:themeColor="text2"/>
                <w:szCs w:val="22"/>
                <w:lang w:val="en-GB"/>
              </w:rPr>
            </w:pPr>
          </w:p>
          <w:p w14:paraId="562403EF" w14:textId="77777777" w:rsidR="002E196A" w:rsidRPr="008C1E72" w:rsidRDefault="008F568B" w:rsidP="002E196A">
            <w:pPr>
              <w:spacing w:after="0"/>
              <w:rPr>
                <w:rFonts w:cs="Calibri"/>
                <w:szCs w:val="22"/>
                <w:lang w:val="en-GB"/>
              </w:rPr>
            </w:pPr>
            <w:r w:rsidRPr="008C1E72">
              <w:rPr>
                <w:rFonts w:cs="Calibri"/>
                <w:color w:val="1F497D" w:themeColor="text2"/>
                <w:szCs w:val="22"/>
                <w:lang w:val="en-GB"/>
              </w:rPr>
              <w:t xml:space="preserve">Where a request for the remission of late lodgement penalties were refused, we issued </w:t>
            </w:r>
            <w:r w:rsidR="002E196A" w:rsidRPr="008C1E72">
              <w:rPr>
                <w:rFonts w:cs="Calibri"/>
                <w:color w:val="1F497D" w:themeColor="text2"/>
                <w:szCs w:val="22"/>
                <w:lang w:val="en-GB"/>
              </w:rPr>
              <w:t>a statement of reasons for decision to the applicant.</w:t>
            </w:r>
          </w:p>
        </w:tc>
        <w:tc>
          <w:tcPr>
            <w:tcW w:w="235" w:type="pct"/>
          </w:tcPr>
          <w:p w14:paraId="3EB7C556" w14:textId="77777777" w:rsidR="002E196A" w:rsidRPr="008C1E72" w:rsidRDefault="002E196A" w:rsidP="002E196A">
            <w:pPr>
              <w:spacing w:after="0"/>
              <w:jc w:val="center"/>
              <w:rPr>
                <w:rFonts w:cs="Calibri"/>
                <w:noProof/>
                <w:color w:val="1F497D" w:themeColor="text2"/>
                <w:szCs w:val="22"/>
                <w:lang w:eastAsia="en-AU"/>
              </w:rPr>
            </w:pPr>
          </w:p>
          <w:p w14:paraId="2B1A4218" w14:textId="77777777" w:rsidR="00F87508" w:rsidRPr="008C1E72" w:rsidRDefault="00F87508" w:rsidP="002E196A">
            <w:pPr>
              <w:spacing w:after="0"/>
              <w:jc w:val="center"/>
              <w:rPr>
                <w:rFonts w:cs="Calibri"/>
                <w:noProof/>
                <w:color w:val="1F497D" w:themeColor="text2"/>
                <w:szCs w:val="22"/>
                <w:lang w:eastAsia="en-AU"/>
              </w:rPr>
            </w:pPr>
          </w:p>
          <w:p w14:paraId="296661FF" w14:textId="77777777" w:rsidR="00F87508" w:rsidRPr="008C1E72" w:rsidRDefault="00F87508" w:rsidP="002E196A">
            <w:pPr>
              <w:spacing w:after="0"/>
              <w:jc w:val="center"/>
              <w:rPr>
                <w:rFonts w:cs="Calibri"/>
                <w:noProof/>
                <w:color w:val="1F497D" w:themeColor="text2"/>
                <w:szCs w:val="22"/>
                <w:lang w:eastAsia="en-AU"/>
              </w:rPr>
            </w:pPr>
          </w:p>
          <w:p w14:paraId="57CA2DDB" w14:textId="77777777" w:rsidR="00F87508" w:rsidRPr="008C1E72" w:rsidRDefault="00F87508" w:rsidP="002E196A">
            <w:pPr>
              <w:spacing w:after="0"/>
              <w:jc w:val="center"/>
              <w:rPr>
                <w:rFonts w:cs="Calibri"/>
                <w:noProof/>
                <w:color w:val="1F497D" w:themeColor="text2"/>
                <w:szCs w:val="22"/>
                <w:lang w:eastAsia="en-AU"/>
              </w:rPr>
            </w:pPr>
          </w:p>
          <w:p w14:paraId="024E0992" w14:textId="77777777" w:rsidR="00F87508" w:rsidRPr="008C1E72" w:rsidRDefault="00F87508" w:rsidP="002E196A">
            <w:pPr>
              <w:spacing w:after="0"/>
              <w:jc w:val="center"/>
              <w:rPr>
                <w:rFonts w:cs="Calibri"/>
                <w:noProof/>
                <w:color w:val="1F497D" w:themeColor="text2"/>
                <w:szCs w:val="22"/>
                <w:lang w:eastAsia="en-AU"/>
              </w:rPr>
            </w:pPr>
          </w:p>
          <w:p w14:paraId="06D1E5CF" w14:textId="77777777" w:rsidR="00F87508" w:rsidRPr="008C1E72" w:rsidRDefault="00F87508" w:rsidP="002E196A">
            <w:pPr>
              <w:spacing w:after="0"/>
              <w:jc w:val="center"/>
              <w:rPr>
                <w:rFonts w:cs="Calibri"/>
                <w:noProof/>
                <w:color w:val="1F497D" w:themeColor="text2"/>
                <w:szCs w:val="22"/>
                <w:lang w:eastAsia="en-AU"/>
              </w:rPr>
            </w:pPr>
          </w:p>
          <w:p w14:paraId="3D69D96B" w14:textId="77777777" w:rsidR="00F87508" w:rsidRPr="008C1E72" w:rsidRDefault="00F87508" w:rsidP="002E196A">
            <w:pPr>
              <w:spacing w:after="0"/>
              <w:jc w:val="center"/>
              <w:rPr>
                <w:rFonts w:cs="Calibri"/>
                <w:noProof/>
                <w:color w:val="1F497D" w:themeColor="text2"/>
                <w:szCs w:val="22"/>
                <w:lang w:eastAsia="en-AU"/>
              </w:rPr>
            </w:pPr>
          </w:p>
          <w:p w14:paraId="20C6B694" w14:textId="77777777" w:rsidR="00F87508" w:rsidRPr="008C1E72" w:rsidRDefault="00F87508" w:rsidP="002E196A">
            <w:pPr>
              <w:spacing w:after="0"/>
              <w:jc w:val="center"/>
              <w:rPr>
                <w:rFonts w:cs="Calibri"/>
                <w:noProof/>
                <w:color w:val="1F497D" w:themeColor="text2"/>
                <w:szCs w:val="22"/>
                <w:lang w:eastAsia="en-AU"/>
              </w:rPr>
            </w:pPr>
          </w:p>
          <w:p w14:paraId="025718B9" w14:textId="77777777" w:rsidR="00F87508" w:rsidRPr="008C1E72" w:rsidRDefault="00F87508" w:rsidP="002E196A">
            <w:pPr>
              <w:spacing w:after="0"/>
              <w:jc w:val="center"/>
              <w:rPr>
                <w:rFonts w:cs="Calibri"/>
                <w:noProof/>
                <w:color w:val="1F497D" w:themeColor="text2"/>
                <w:szCs w:val="22"/>
                <w:lang w:eastAsia="en-AU"/>
              </w:rPr>
            </w:pPr>
          </w:p>
          <w:p w14:paraId="625C1339" w14:textId="77777777" w:rsidR="00F87508" w:rsidRPr="008C1E72" w:rsidRDefault="00F87508" w:rsidP="002E196A">
            <w:pPr>
              <w:spacing w:after="0"/>
              <w:jc w:val="center"/>
              <w:rPr>
                <w:rFonts w:cs="Calibri"/>
                <w:noProof/>
                <w:color w:val="1F497D" w:themeColor="text2"/>
                <w:szCs w:val="22"/>
                <w:lang w:eastAsia="en-AU"/>
              </w:rPr>
            </w:pPr>
          </w:p>
          <w:p w14:paraId="015A5D63" w14:textId="77777777" w:rsidR="00F87508" w:rsidRPr="008C1E72" w:rsidRDefault="00F87508" w:rsidP="002E196A">
            <w:pPr>
              <w:spacing w:after="0"/>
              <w:jc w:val="center"/>
              <w:rPr>
                <w:rFonts w:cs="Calibri"/>
                <w:noProof/>
                <w:color w:val="1F497D" w:themeColor="text2"/>
                <w:szCs w:val="22"/>
                <w:lang w:eastAsia="en-AU"/>
              </w:rPr>
            </w:pPr>
          </w:p>
          <w:p w14:paraId="02BD43C2" w14:textId="77777777" w:rsidR="00F87508" w:rsidRPr="008C1E72" w:rsidRDefault="00F87508" w:rsidP="002E196A">
            <w:pPr>
              <w:spacing w:after="0"/>
              <w:jc w:val="center"/>
              <w:rPr>
                <w:rFonts w:cs="Calibri"/>
                <w:noProof/>
                <w:color w:val="1F497D" w:themeColor="text2"/>
                <w:szCs w:val="22"/>
                <w:lang w:eastAsia="en-AU"/>
              </w:rPr>
            </w:pPr>
          </w:p>
          <w:p w14:paraId="31DD2413" w14:textId="77777777" w:rsidR="00F87508" w:rsidRPr="008C1E72" w:rsidRDefault="00F87508" w:rsidP="002E196A">
            <w:pPr>
              <w:spacing w:after="0"/>
              <w:jc w:val="center"/>
              <w:rPr>
                <w:rFonts w:cs="Calibri"/>
                <w:noProof/>
                <w:color w:val="1F497D" w:themeColor="text2"/>
                <w:szCs w:val="22"/>
                <w:lang w:eastAsia="en-AU"/>
              </w:rPr>
            </w:pPr>
          </w:p>
          <w:p w14:paraId="0BBDAD87" w14:textId="77777777" w:rsidR="00F87508" w:rsidRPr="008C1E72" w:rsidRDefault="00F87508" w:rsidP="002E196A">
            <w:pPr>
              <w:spacing w:after="0"/>
              <w:jc w:val="center"/>
              <w:rPr>
                <w:rFonts w:cs="Calibri"/>
                <w:noProof/>
                <w:color w:val="1F497D" w:themeColor="text2"/>
                <w:szCs w:val="22"/>
                <w:lang w:eastAsia="en-AU"/>
              </w:rPr>
            </w:pPr>
          </w:p>
          <w:p w14:paraId="06B6DD37" w14:textId="77777777" w:rsidR="002E196A" w:rsidRPr="008C1E72" w:rsidRDefault="002E196A" w:rsidP="002E196A">
            <w:pPr>
              <w:spacing w:after="0"/>
              <w:jc w:val="center"/>
              <w:rPr>
                <w:rFonts w:cs="Calibri"/>
                <w:noProof/>
                <w:color w:val="1F497D" w:themeColor="text2"/>
                <w:szCs w:val="22"/>
                <w:lang w:eastAsia="en-AU"/>
              </w:rPr>
            </w:pPr>
            <w:r w:rsidRPr="008C1E72">
              <w:rPr>
                <w:rFonts w:cs="Calibri"/>
                <w:noProof/>
                <w:color w:val="1F497D" w:themeColor="text2"/>
                <w:szCs w:val="22"/>
                <w:lang w:eastAsia="en-AU"/>
              </w:rPr>
              <w:drawing>
                <wp:inline distT="0" distB="0" distL="0" distR="0" wp14:anchorId="722452EF" wp14:editId="768EA07E">
                  <wp:extent cx="201295" cy="21336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tcPr>
          <w:p w14:paraId="3051358D" w14:textId="77777777" w:rsidR="002E196A" w:rsidRPr="008C1E72" w:rsidRDefault="002E196A" w:rsidP="008963E0">
            <w:pPr>
              <w:pStyle w:val="BodyText2"/>
              <w:spacing w:before="120" w:after="120"/>
              <w:rPr>
                <w:rFonts w:cs="Calibri"/>
                <w:b/>
                <w:color w:val="1F497D" w:themeColor="text2"/>
              </w:rPr>
            </w:pPr>
            <w:r w:rsidRPr="008C1E72">
              <w:rPr>
                <w:rFonts w:cs="Calibri"/>
                <w:b/>
                <w:color w:val="1F497D" w:themeColor="text2"/>
              </w:rPr>
              <w:t>Registration refusal: statement of reasons</w:t>
            </w:r>
          </w:p>
          <w:p w14:paraId="368024A6" w14:textId="77777777" w:rsidR="002E196A" w:rsidRPr="008C1E72" w:rsidRDefault="002E196A" w:rsidP="00260615">
            <w:pPr>
              <w:rPr>
                <w:rFonts w:cs="Calibri"/>
                <w:color w:val="1F497D" w:themeColor="text2"/>
                <w:szCs w:val="22"/>
                <w:lang w:val="en-GB"/>
              </w:rPr>
            </w:pPr>
            <w:r w:rsidRPr="008C1E72">
              <w:rPr>
                <w:rFonts w:cs="Calibri"/>
                <w:color w:val="1F497D" w:themeColor="text2"/>
                <w:szCs w:val="22"/>
                <w:lang w:val="en-GB"/>
              </w:rPr>
              <w:t>In 201</w:t>
            </w:r>
            <w:r w:rsidR="00260615" w:rsidRPr="008C1E72">
              <w:rPr>
                <w:rFonts w:cs="Calibri"/>
                <w:color w:val="1F497D" w:themeColor="text2"/>
                <w:szCs w:val="22"/>
                <w:lang w:val="en-GB"/>
              </w:rPr>
              <w:t>7</w:t>
            </w:r>
            <w:r w:rsidRPr="008C1E72">
              <w:rPr>
                <w:rFonts w:cs="Calibri"/>
                <w:color w:val="1F497D" w:themeColor="text2"/>
                <w:szCs w:val="22"/>
                <w:lang w:val="en-GB"/>
              </w:rPr>
              <w:t>-1</w:t>
            </w:r>
            <w:r w:rsidR="00260615" w:rsidRPr="008C1E72">
              <w:rPr>
                <w:rFonts w:cs="Calibri"/>
                <w:color w:val="1F497D" w:themeColor="text2"/>
                <w:szCs w:val="22"/>
                <w:lang w:val="en-GB"/>
              </w:rPr>
              <w:t>8,</w:t>
            </w:r>
            <w:r w:rsidR="0098276C" w:rsidRPr="008C1E72">
              <w:rPr>
                <w:rFonts w:cs="Calibri"/>
                <w:color w:val="1F497D" w:themeColor="text2"/>
                <w:szCs w:val="22"/>
                <w:lang w:val="en-GB"/>
              </w:rPr>
              <w:t xml:space="preserve"> </w:t>
            </w:r>
            <w:r w:rsidR="00260615" w:rsidRPr="008C1E72">
              <w:rPr>
                <w:rFonts w:cs="Calibri"/>
                <w:color w:val="1F497D" w:themeColor="text2"/>
                <w:szCs w:val="22"/>
                <w:lang w:val="en-GB"/>
              </w:rPr>
              <w:t>945</w:t>
            </w:r>
            <w:r w:rsidR="003B2DDF" w:rsidRPr="008C1E72">
              <w:rPr>
                <w:rFonts w:cs="Calibri"/>
                <w:color w:val="1F497D" w:themeColor="text2"/>
                <w:szCs w:val="22"/>
                <w:lang w:val="en-GB"/>
              </w:rPr>
              <w:t xml:space="preserve"> registration</w:t>
            </w:r>
            <w:r w:rsidRPr="008C1E72">
              <w:rPr>
                <w:rFonts w:cs="Calibri"/>
                <w:color w:val="1F497D" w:themeColor="text2"/>
                <w:szCs w:val="22"/>
                <w:lang w:val="en-GB"/>
              </w:rPr>
              <w:t xml:space="preserve"> applications were refused or withdrawn, a</w:t>
            </w:r>
            <w:r w:rsidR="00260615" w:rsidRPr="008C1E72">
              <w:rPr>
                <w:rFonts w:cs="Calibri"/>
                <w:color w:val="1F497D" w:themeColor="text2"/>
                <w:szCs w:val="22"/>
                <w:lang w:val="en-GB"/>
              </w:rPr>
              <w:t>n increase of 26 from 201</w:t>
            </w:r>
            <w:r w:rsidR="004027CE" w:rsidRPr="008C1E72">
              <w:rPr>
                <w:rFonts w:cs="Calibri"/>
                <w:color w:val="1F497D" w:themeColor="text2"/>
                <w:szCs w:val="22"/>
                <w:lang w:val="en-GB"/>
              </w:rPr>
              <w:t>6</w:t>
            </w:r>
            <w:r w:rsidR="00260615" w:rsidRPr="008C1E72">
              <w:rPr>
                <w:rFonts w:cs="Calibri"/>
                <w:color w:val="1F497D" w:themeColor="text2"/>
                <w:szCs w:val="22"/>
                <w:lang w:val="en-GB"/>
              </w:rPr>
              <w:t>-1</w:t>
            </w:r>
            <w:r w:rsidR="004027CE" w:rsidRPr="008C1E72">
              <w:rPr>
                <w:rFonts w:cs="Calibri"/>
                <w:color w:val="1F497D" w:themeColor="text2"/>
                <w:szCs w:val="22"/>
                <w:lang w:val="en-GB"/>
              </w:rPr>
              <w:t>7</w:t>
            </w:r>
            <w:r w:rsidR="00260615" w:rsidRPr="008C1E72">
              <w:rPr>
                <w:rFonts w:cs="Calibri"/>
                <w:color w:val="1F497D" w:themeColor="text2"/>
                <w:szCs w:val="22"/>
                <w:lang w:val="en-GB"/>
              </w:rPr>
              <w:t xml:space="preserve">. </w:t>
            </w:r>
            <w:r w:rsidR="0098276C" w:rsidRPr="008C1E72">
              <w:rPr>
                <w:rFonts w:cs="Calibri"/>
                <w:color w:val="1F497D" w:themeColor="text2"/>
                <w:szCs w:val="22"/>
                <w:lang w:val="en-GB"/>
              </w:rPr>
              <w:t>In all cases, reasons for our decision were communicated to the applicant to enable them to address any issues. Where an application was refused, the charity was provided with a statement of reasons.</w:t>
            </w:r>
          </w:p>
          <w:p w14:paraId="6D0ABBE5" w14:textId="77777777" w:rsidR="002E196A" w:rsidRPr="008C1E72" w:rsidRDefault="002E196A" w:rsidP="002E196A">
            <w:pPr>
              <w:rPr>
                <w:rFonts w:cs="Calibri"/>
                <w:color w:val="1F497D" w:themeColor="text2"/>
                <w:szCs w:val="22"/>
                <w:lang w:val="en-GB"/>
              </w:rPr>
            </w:pPr>
            <w:r w:rsidRPr="008C1E72">
              <w:rPr>
                <w:rFonts w:cs="Calibri"/>
                <w:color w:val="1F497D" w:themeColor="text2"/>
                <w:szCs w:val="22"/>
                <w:lang w:val="en-GB"/>
              </w:rPr>
              <w:t xml:space="preserve">The most common reason for refusal, accounting for over 80 per cent of the total, was that the applicant didn’t provide sufficient information for us to determine whether their application met registration requirements. In these situations, we make two attempts to obtain the missing information before refusing an application. </w:t>
            </w:r>
          </w:p>
          <w:p w14:paraId="4FD74291" w14:textId="77777777" w:rsidR="002E196A" w:rsidRPr="008C1E72" w:rsidRDefault="002E196A" w:rsidP="004027CE">
            <w:pPr>
              <w:rPr>
                <w:rFonts w:cs="Calibri"/>
                <w:color w:val="1F497D" w:themeColor="text2"/>
                <w:szCs w:val="22"/>
                <w:lang w:val="en-GB"/>
              </w:rPr>
            </w:pPr>
            <w:r w:rsidRPr="008C1E72">
              <w:rPr>
                <w:rFonts w:cs="Calibri"/>
                <w:color w:val="1F497D" w:themeColor="text2"/>
                <w:szCs w:val="22"/>
                <w:lang w:val="en-GB"/>
              </w:rPr>
              <w:t>The remaining refusals occurred because the organisation applying for registration did not meet the requirements. These are organisations that:</w:t>
            </w:r>
          </w:p>
          <w:p w14:paraId="1021909E" w14:textId="77777777" w:rsidR="002E196A" w:rsidRPr="008C1E72" w:rsidRDefault="002E196A" w:rsidP="00114AC9">
            <w:pPr>
              <w:numPr>
                <w:ilvl w:val="0"/>
                <w:numId w:val="15"/>
              </w:numPr>
              <w:rPr>
                <w:rFonts w:cs="Calibri"/>
                <w:color w:val="1F497D" w:themeColor="text2"/>
                <w:szCs w:val="22"/>
              </w:rPr>
            </w:pPr>
            <w:r w:rsidRPr="008C1E72">
              <w:rPr>
                <w:rFonts w:cs="Calibri"/>
                <w:color w:val="1F497D" w:themeColor="text2"/>
                <w:szCs w:val="22"/>
              </w:rPr>
              <w:t>have non-charitable purposes (for example, sporting or recreational purposes)</w:t>
            </w:r>
          </w:p>
          <w:p w14:paraId="72B5AC00" w14:textId="77777777" w:rsidR="002E196A" w:rsidRPr="008C1E72" w:rsidRDefault="002E196A" w:rsidP="00114AC9">
            <w:pPr>
              <w:numPr>
                <w:ilvl w:val="0"/>
                <w:numId w:val="15"/>
              </w:numPr>
              <w:rPr>
                <w:rFonts w:cs="Calibri"/>
                <w:color w:val="1F497D" w:themeColor="text2"/>
                <w:szCs w:val="22"/>
              </w:rPr>
            </w:pPr>
            <w:r w:rsidRPr="008C1E72">
              <w:rPr>
                <w:rFonts w:cs="Calibri"/>
                <w:color w:val="1F497D" w:themeColor="text2"/>
                <w:szCs w:val="22"/>
              </w:rPr>
              <w:t>provide private benefit</w:t>
            </w:r>
          </w:p>
          <w:p w14:paraId="3E947B74" w14:textId="77777777" w:rsidR="002E196A" w:rsidRPr="008C1E72" w:rsidRDefault="002E196A" w:rsidP="00114AC9">
            <w:pPr>
              <w:numPr>
                <w:ilvl w:val="0"/>
                <w:numId w:val="15"/>
              </w:numPr>
              <w:rPr>
                <w:rFonts w:cs="Calibri"/>
                <w:color w:val="1F497D" w:themeColor="text2"/>
                <w:szCs w:val="22"/>
              </w:rPr>
            </w:pPr>
            <w:r w:rsidRPr="008C1E72">
              <w:rPr>
                <w:rFonts w:cs="Calibri"/>
                <w:color w:val="1F497D" w:themeColor="text2"/>
                <w:szCs w:val="22"/>
              </w:rPr>
              <w:t>do not meet the not-for-profit requirements.</w:t>
            </w:r>
          </w:p>
          <w:p w14:paraId="6150E9EE" w14:textId="77777777" w:rsidR="002E196A" w:rsidRPr="008C1E72" w:rsidRDefault="002E196A" w:rsidP="008963E0">
            <w:pPr>
              <w:pStyle w:val="BodyText2"/>
              <w:spacing w:before="120" w:after="120"/>
              <w:rPr>
                <w:rFonts w:cs="Calibri"/>
                <w:b/>
                <w:color w:val="1F497D" w:themeColor="text2"/>
              </w:rPr>
            </w:pPr>
            <w:r w:rsidRPr="008C1E72">
              <w:rPr>
                <w:rFonts w:cs="Calibri"/>
                <w:b/>
                <w:color w:val="1F497D" w:themeColor="text2"/>
              </w:rPr>
              <w:t>Refused remission of penalties: statement of reasons</w:t>
            </w:r>
          </w:p>
          <w:p w14:paraId="782B32AA" w14:textId="31A5B95C" w:rsidR="002E196A" w:rsidRPr="008C1E72" w:rsidRDefault="008F568B" w:rsidP="002E196A">
            <w:pPr>
              <w:rPr>
                <w:rFonts w:cs="Calibri"/>
                <w:color w:val="1F497D" w:themeColor="text2"/>
                <w:szCs w:val="22"/>
              </w:rPr>
            </w:pPr>
            <w:r w:rsidRPr="008C1E72">
              <w:rPr>
                <w:rFonts w:cs="Calibri"/>
                <w:color w:val="1F497D" w:themeColor="text2"/>
                <w:szCs w:val="22"/>
                <w:lang w:val="en-GB"/>
              </w:rPr>
              <w:t>In 2017-18</w:t>
            </w:r>
            <w:r w:rsidR="002E196A" w:rsidRPr="008C1E72">
              <w:rPr>
                <w:rFonts w:cs="Calibri"/>
                <w:color w:val="1F497D" w:themeColor="text2"/>
                <w:szCs w:val="22"/>
                <w:lang w:val="en-GB"/>
              </w:rPr>
              <w:t xml:space="preserve">, we received </w:t>
            </w:r>
            <w:r w:rsidRPr="008C1E72">
              <w:rPr>
                <w:rFonts w:cs="Calibri"/>
                <w:color w:val="1F497D" w:themeColor="text2"/>
                <w:szCs w:val="22"/>
                <w:lang w:val="en-GB"/>
              </w:rPr>
              <w:t>24</w:t>
            </w:r>
            <w:r w:rsidR="00EC0921" w:rsidRPr="008C1E72">
              <w:rPr>
                <w:rFonts w:cs="Calibri"/>
                <w:color w:val="1F497D" w:themeColor="text2"/>
                <w:szCs w:val="22"/>
                <w:lang w:val="en-GB"/>
              </w:rPr>
              <w:t xml:space="preserve"> requests to remit a penalty which was imposed due to a </w:t>
            </w:r>
            <w:r w:rsidR="002E196A" w:rsidRPr="008C1E72">
              <w:rPr>
                <w:rFonts w:cs="Calibri"/>
                <w:color w:val="1F497D" w:themeColor="text2"/>
                <w:szCs w:val="22"/>
                <w:lang w:val="en-GB"/>
              </w:rPr>
              <w:t>failure to lodge an Annual Information Statement on time</w:t>
            </w:r>
            <w:r w:rsidRPr="008C1E72">
              <w:rPr>
                <w:rFonts w:cs="Calibri"/>
                <w:color w:val="1F497D" w:themeColor="text2"/>
                <w:szCs w:val="22"/>
                <w:lang w:val="en-GB"/>
              </w:rPr>
              <w:t xml:space="preserve">. </w:t>
            </w:r>
            <w:r w:rsidR="007C10A7" w:rsidRPr="008C1E72">
              <w:rPr>
                <w:rFonts w:cs="Calibri"/>
                <w:color w:val="1F497D" w:themeColor="text2"/>
                <w:szCs w:val="22"/>
                <w:lang w:val="en-GB"/>
              </w:rPr>
              <w:t xml:space="preserve">Ten </w:t>
            </w:r>
            <w:r w:rsidR="003B2DDF" w:rsidRPr="008C1E72">
              <w:rPr>
                <w:rFonts w:cs="Calibri"/>
                <w:color w:val="1F497D" w:themeColor="text2"/>
                <w:szCs w:val="22"/>
                <w:lang w:val="en-GB"/>
              </w:rPr>
              <w:t>requests</w:t>
            </w:r>
            <w:r w:rsidRPr="008C1E72">
              <w:rPr>
                <w:rFonts w:cs="Calibri"/>
                <w:color w:val="1F497D" w:themeColor="text2"/>
                <w:szCs w:val="22"/>
                <w:lang w:val="en-GB"/>
              </w:rPr>
              <w:t xml:space="preserve"> were refused, </w:t>
            </w:r>
            <w:r w:rsidR="007C10A7" w:rsidRPr="008C1E72">
              <w:rPr>
                <w:rFonts w:cs="Calibri"/>
                <w:color w:val="1F497D" w:themeColor="text2"/>
                <w:szCs w:val="22"/>
                <w:lang w:val="en-GB"/>
              </w:rPr>
              <w:t xml:space="preserve">eight </w:t>
            </w:r>
            <w:r w:rsidRPr="008C1E72">
              <w:rPr>
                <w:rFonts w:cs="Calibri"/>
                <w:color w:val="1F497D" w:themeColor="text2"/>
                <w:szCs w:val="22"/>
                <w:lang w:val="en-GB"/>
              </w:rPr>
              <w:t xml:space="preserve">were fully remitted, </w:t>
            </w:r>
            <w:r w:rsidR="004027CE" w:rsidRPr="008C1E72">
              <w:rPr>
                <w:rFonts w:cs="Calibri"/>
                <w:color w:val="1F497D" w:themeColor="text2"/>
                <w:szCs w:val="22"/>
                <w:lang w:val="en-GB"/>
              </w:rPr>
              <w:t>four</w:t>
            </w:r>
            <w:r w:rsidRPr="008C1E72">
              <w:rPr>
                <w:rFonts w:cs="Calibri"/>
                <w:color w:val="1F497D" w:themeColor="text2"/>
                <w:szCs w:val="22"/>
                <w:lang w:val="en-GB"/>
              </w:rPr>
              <w:t xml:space="preserve"> were partially remitted</w:t>
            </w:r>
            <w:r w:rsidR="007F1AB2">
              <w:rPr>
                <w:rFonts w:cs="Calibri"/>
                <w:color w:val="1F497D" w:themeColor="text2"/>
                <w:szCs w:val="22"/>
                <w:lang w:val="en-GB"/>
              </w:rPr>
              <w:t>.</w:t>
            </w:r>
            <w:r w:rsidR="00A5628F">
              <w:rPr>
                <w:rFonts w:cs="Calibri"/>
                <w:color w:val="1F497D" w:themeColor="text2"/>
                <w:szCs w:val="22"/>
                <w:lang w:val="en-GB"/>
              </w:rPr>
              <w:t xml:space="preserve"> </w:t>
            </w:r>
            <w:r w:rsidR="00306612">
              <w:rPr>
                <w:rFonts w:cs="Calibri"/>
                <w:color w:val="1F497D" w:themeColor="text2"/>
                <w:szCs w:val="22"/>
                <w:lang w:val="en-GB"/>
              </w:rPr>
              <w:t>O</w:t>
            </w:r>
            <w:r w:rsidR="007C10A7" w:rsidRPr="008C1E72">
              <w:rPr>
                <w:rFonts w:cs="Calibri"/>
                <w:color w:val="1F497D" w:themeColor="text2"/>
                <w:szCs w:val="22"/>
                <w:lang w:val="en-GB"/>
              </w:rPr>
              <w:t>ne was withdrawn</w:t>
            </w:r>
            <w:r w:rsidR="00306612">
              <w:rPr>
                <w:rFonts w:cs="Calibri"/>
                <w:color w:val="1F497D" w:themeColor="text2"/>
                <w:szCs w:val="22"/>
                <w:lang w:val="en-GB"/>
              </w:rPr>
              <w:t xml:space="preserve"> and one decision is pending</w:t>
            </w:r>
            <w:r w:rsidRPr="008C1E72">
              <w:rPr>
                <w:rFonts w:cs="Calibri"/>
                <w:color w:val="1F497D" w:themeColor="text2"/>
                <w:szCs w:val="22"/>
                <w:lang w:val="en-GB"/>
              </w:rPr>
              <w:t xml:space="preserve">. </w:t>
            </w:r>
            <w:r w:rsidR="007C10A7" w:rsidRPr="008C1E72">
              <w:rPr>
                <w:rFonts w:cs="Calibri"/>
                <w:color w:val="1F497D" w:themeColor="text2"/>
                <w:szCs w:val="22"/>
                <w:lang w:val="en-GB"/>
              </w:rPr>
              <w:t xml:space="preserve">No penalties were objected to. </w:t>
            </w:r>
          </w:p>
          <w:p w14:paraId="2C43907B" w14:textId="77777777" w:rsidR="002E196A" w:rsidRPr="008C1E72" w:rsidRDefault="008F568B" w:rsidP="002E196A">
            <w:pPr>
              <w:rPr>
                <w:rFonts w:cs="Calibri"/>
                <w:b/>
                <w:color w:val="1F497D" w:themeColor="text2"/>
                <w:szCs w:val="22"/>
                <w:lang w:val="en-GB"/>
              </w:rPr>
            </w:pPr>
            <w:r w:rsidRPr="008C1E72">
              <w:rPr>
                <w:rFonts w:cs="Calibri"/>
                <w:color w:val="1F497D" w:themeColor="text2"/>
                <w:szCs w:val="22"/>
                <w:lang w:val="en-GB"/>
              </w:rPr>
              <w:t>The most common reasons for refusal were because the charity did not demonstrate any extenuating circumstances leading to the failure of the charity to lodge on time, and a poor compliance history. A number had also still not lodged. In all cases, charities received multiple reminder letters and a warning letter, issued via email and post, prior to the penalty being issued.</w:t>
            </w:r>
          </w:p>
          <w:p w14:paraId="370A87BD" w14:textId="77777777" w:rsidR="00925A9B" w:rsidRPr="008C1E72" w:rsidRDefault="00925A9B" w:rsidP="008963E0">
            <w:pPr>
              <w:pStyle w:val="BodyText2"/>
              <w:spacing w:before="120" w:after="120"/>
              <w:rPr>
                <w:rFonts w:cs="Calibri"/>
                <w:b/>
                <w:color w:val="1F497D" w:themeColor="text2"/>
              </w:rPr>
            </w:pPr>
            <w:r w:rsidRPr="008C1E72">
              <w:rPr>
                <w:rFonts w:cs="Calibri"/>
                <w:b/>
                <w:color w:val="1F497D" w:themeColor="text2"/>
              </w:rPr>
              <w:t xml:space="preserve">Objections to revocation of charity status due to compliance investigations </w:t>
            </w:r>
          </w:p>
          <w:p w14:paraId="2A063B52" w14:textId="77777777" w:rsidR="008963E0" w:rsidRPr="008C1E72" w:rsidRDefault="00925A9B" w:rsidP="002E196A">
            <w:pPr>
              <w:rPr>
                <w:rFonts w:cs="Calibri"/>
                <w:color w:val="1F497D" w:themeColor="text2"/>
                <w:szCs w:val="22"/>
                <w:lang w:val="en-GB"/>
              </w:rPr>
            </w:pPr>
            <w:r w:rsidRPr="008C1E72">
              <w:rPr>
                <w:rFonts w:cs="Calibri"/>
                <w:color w:val="1F497D" w:themeColor="text2"/>
                <w:szCs w:val="22"/>
                <w:lang w:val="en-GB"/>
              </w:rPr>
              <w:t>In 2017-18, two organisations objected to the decision to revoke</w:t>
            </w:r>
            <w:r w:rsidR="008963E0" w:rsidRPr="008C1E72">
              <w:rPr>
                <w:rFonts w:cs="Calibri"/>
                <w:color w:val="1F497D" w:themeColor="text2"/>
                <w:szCs w:val="22"/>
                <w:lang w:val="en-GB"/>
              </w:rPr>
              <w:t xml:space="preserve"> their</w:t>
            </w:r>
            <w:r w:rsidRPr="008C1E72">
              <w:rPr>
                <w:rFonts w:cs="Calibri"/>
                <w:color w:val="1F497D" w:themeColor="text2"/>
                <w:szCs w:val="22"/>
                <w:lang w:val="en-GB"/>
              </w:rPr>
              <w:t xml:space="preserve"> charity status as a result of compliance inve</w:t>
            </w:r>
            <w:r w:rsidR="008963E0" w:rsidRPr="008C1E72">
              <w:rPr>
                <w:rFonts w:cs="Calibri"/>
                <w:color w:val="1F497D" w:themeColor="text2"/>
                <w:szCs w:val="22"/>
                <w:lang w:val="en-GB"/>
              </w:rPr>
              <w:t>stigations – one decision w</w:t>
            </w:r>
            <w:r w:rsidR="00EC0921" w:rsidRPr="008C1E72">
              <w:rPr>
                <w:rFonts w:cs="Calibri"/>
                <w:color w:val="1F497D" w:themeColor="text2"/>
                <w:szCs w:val="22"/>
                <w:lang w:val="en-GB"/>
              </w:rPr>
              <w:t>as upheld</w:t>
            </w:r>
            <w:r w:rsidR="008963E0" w:rsidRPr="008C1E72">
              <w:rPr>
                <w:rFonts w:cs="Calibri"/>
                <w:color w:val="1F497D" w:themeColor="text2"/>
                <w:szCs w:val="22"/>
                <w:lang w:val="en-GB"/>
              </w:rPr>
              <w:t>, and the other is still being assessed.</w:t>
            </w:r>
          </w:p>
        </w:tc>
      </w:tr>
      <w:tr w:rsidR="002E196A" w:rsidRPr="008C1E72" w14:paraId="52B5D362" w14:textId="77777777" w:rsidTr="00EC0921">
        <w:trPr>
          <w:trHeight w:val="85"/>
        </w:trPr>
        <w:tc>
          <w:tcPr>
            <w:tcW w:w="93" w:type="pct"/>
            <w:gridSpan w:val="2"/>
            <w:vMerge/>
            <w:shd w:val="clear" w:color="auto" w:fill="D9D9D9" w:themeFill="background1" w:themeFillShade="D9"/>
            <w:vAlign w:val="center"/>
          </w:tcPr>
          <w:p w14:paraId="4C36B8CC" w14:textId="77777777" w:rsidR="002E196A" w:rsidRPr="008C1E72" w:rsidRDefault="002E196A" w:rsidP="002E196A">
            <w:pPr>
              <w:spacing w:after="0"/>
              <w:jc w:val="center"/>
              <w:rPr>
                <w:rFonts w:cs="Calibri"/>
                <w:b/>
                <w:szCs w:val="22"/>
                <w:lang w:val="en-GB"/>
              </w:rPr>
            </w:pPr>
          </w:p>
        </w:tc>
        <w:tc>
          <w:tcPr>
            <w:tcW w:w="631" w:type="pct"/>
            <w:gridSpan w:val="2"/>
            <w:vMerge/>
            <w:shd w:val="clear" w:color="auto" w:fill="auto"/>
            <w:vAlign w:val="center"/>
          </w:tcPr>
          <w:p w14:paraId="6A5C4B70" w14:textId="77777777" w:rsidR="002E196A" w:rsidRPr="008C1E72" w:rsidRDefault="002E196A" w:rsidP="002E196A">
            <w:pPr>
              <w:suppressAutoHyphens/>
              <w:rPr>
                <w:rFonts w:cs="Calibri"/>
                <w:szCs w:val="22"/>
                <w:lang w:val="en-GB"/>
              </w:rPr>
            </w:pPr>
          </w:p>
        </w:tc>
        <w:tc>
          <w:tcPr>
            <w:tcW w:w="157" w:type="pct"/>
            <w:gridSpan w:val="2"/>
            <w:shd w:val="clear" w:color="auto" w:fill="D9D9D9" w:themeFill="background1" w:themeFillShade="D9"/>
            <w:vAlign w:val="center"/>
          </w:tcPr>
          <w:p w14:paraId="71C70604" w14:textId="77777777" w:rsidR="002E196A" w:rsidRPr="008C1E72" w:rsidRDefault="002E196A" w:rsidP="002E196A">
            <w:pPr>
              <w:spacing w:after="0"/>
              <w:jc w:val="center"/>
              <w:rPr>
                <w:rFonts w:cs="Calibri"/>
                <w:b/>
                <w:szCs w:val="22"/>
                <w:lang w:val="en-GB"/>
              </w:rPr>
            </w:pPr>
            <w:r w:rsidRPr="008C1E72">
              <w:rPr>
                <w:rFonts w:cs="Calibri"/>
                <w:b/>
                <w:szCs w:val="22"/>
                <w:lang w:val="en-GB"/>
              </w:rPr>
              <w:t>2.7</w:t>
            </w:r>
          </w:p>
        </w:tc>
        <w:tc>
          <w:tcPr>
            <w:tcW w:w="709" w:type="pct"/>
            <w:shd w:val="clear" w:color="auto" w:fill="auto"/>
            <w:vAlign w:val="center"/>
          </w:tcPr>
          <w:p w14:paraId="7B3EAABB" w14:textId="77777777" w:rsidR="002E196A" w:rsidRPr="008C1E72" w:rsidRDefault="002E196A" w:rsidP="002E196A">
            <w:pPr>
              <w:spacing w:after="0"/>
              <w:rPr>
                <w:rFonts w:cs="Calibri"/>
                <w:b/>
                <w:szCs w:val="22"/>
                <w:lang w:val="en-GB"/>
              </w:rPr>
            </w:pPr>
            <w:r w:rsidRPr="008C1E72">
              <w:rPr>
                <w:rFonts w:cs="Calibri"/>
                <w:b/>
                <w:szCs w:val="22"/>
                <w:lang w:val="en-GB"/>
              </w:rPr>
              <w:t>All objections are determined by an independent case officer and if disallowed are accompanied by reasons for decision</w:t>
            </w:r>
          </w:p>
        </w:tc>
        <w:tc>
          <w:tcPr>
            <w:tcW w:w="915" w:type="pct"/>
            <w:gridSpan w:val="2"/>
            <w:vAlign w:val="center"/>
          </w:tcPr>
          <w:p w14:paraId="2E28BBB3" w14:textId="77777777" w:rsidR="002E196A" w:rsidRPr="008C1E72" w:rsidRDefault="002E196A" w:rsidP="002E196A">
            <w:pPr>
              <w:spacing w:after="0"/>
              <w:rPr>
                <w:rFonts w:cs="Calibri"/>
                <w:szCs w:val="22"/>
                <w:highlight w:val="yellow"/>
                <w:lang w:val="en-GB"/>
              </w:rPr>
            </w:pPr>
          </w:p>
          <w:p w14:paraId="6BB58DED" w14:textId="77777777" w:rsidR="002E196A" w:rsidRPr="008C1E72" w:rsidRDefault="0098276C" w:rsidP="0098276C">
            <w:pPr>
              <w:spacing w:after="0"/>
              <w:rPr>
                <w:rFonts w:cs="Calibri"/>
                <w:color w:val="1F497D" w:themeColor="text2"/>
                <w:szCs w:val="22"/>
                <w:highlight w:val="yellow"/>
                <w:lang w:val="en-GB"/>
              </w:rPr>
            </w:pPr>
            <w:r w:rsidRPr="008C1E72">
              <w:rPr>
                <w:rFonts w:cs="Calibri"/>
                <w:color w:val="1F497D" w:themeColor="text2"/>
                <w:szCs w:val="22"/>
                <w:lang w:val="en-GB"/>
              </w:rPr>
              <w:t>All i</w:t>
            </w:r>
            <w:r w:rsidR="002E196A" w:rsidRPr="008C1E72">
              <w:rPr>
                <w:rFonts w:cs="Calibri"/>
                <w:color w:val="1F497D" w:themeColor="text2"/>
                <w:szCs w:val="22"/>
                <w:lang w:val="en-GB"/>
              </w:rPr>
              <w:t>nternal reviews were determined by an independent case officer and, if disallowed, reasons for decision were provided to the applicant.</w:t>
            </w:r>
            <w:r w:rsidR="002E196A" w:rsidRPr="008C1E72">
              <w:rPr>
                <w:rFonts w:cs="Calibri"/>
                <w:color w:val="1F497D" w:themeColor="text2"/>
                <w:szCs w:val="22"/>
                <w:highlight w:val="yellow"/>
                <w:lang w:val="en-GB"/>
              </w:rPr>
              <w:t xml:space="preserve"> </w:t>
            </w:r>
          </w:p>
        </w:tc>
        <w:tc>
          <w:tcPr>
            <w:tcW w:w="235" w:type="pct"/>
          </w:tcPr>
          <w:p w14:paraId="2F12BD60" w14:textId="77777777" w:rsidR="002E196A" w:rsidRPr="008C1E72" w:rsidRDefault="002E196A" w:rsidP="002E196A">
            <w:pPr>
              <w:spacing w:after="0"/>
              <w:jc w:val="center"/>
              <w:rPr>
                <w:rFonts w:cs="Calibri"/>
                <w:noProof/>
                <w:color w:val="1F497D" w:themeColor="text2"/>
                <w:szCs w:val="22"/>
                <w:highlight w:val="yellow"/>
                <w:lang w:eastAsia="en-AU"/>
              </w:rPr>
            </w:pPr>
          </w:p>
          <w:p w14:paraId="7CF7E483" w14:textId="77777777" w:rsidR="00F87508" w:rsidRPr="008C1E72" w:rsidRDefault="00F87508" w:rsidP="002E196A">
            <w:pPr>
              <w:spacing w:after="0"/>
              <w:jc w:val="center"/>
              <w:rPr>
                <w:rFonts w:cs="Calibri"/>
                <w:noProof/>
                <w:color w:val="1F497D" w:themeColor="text2"/>
                <w:szCs w:val="22"/>
                <w:highlight w:val="yellow"/>
                <w:lang w:eastAsia="en-AU"/>
              </w:rPr>
            </w:pPr>
          </w:p>
          <w:p w14:paraId="4D067139" w14:textId="77777777" w:rsidR="00F87508" w:rsidRPr="008C1E72" w:rsidRDefault="00F87508" w:rsidP="002E196A">
            <w:pPr>
              <w:spacing w:after="0"/>
              <w:jc w:val="center"/>
              <w:rPr>
                <w:rFonts w:cs="Calibri"/>
                <w:noProof/>
                <w:color w:val="1F497D" w:themeColor="text2"/>
                <w:szCs w:val="22"/>
                <w:highlight w:val="yellow"/>
                <w:lang w:eastAsia="en-AU"/>
              </w:rPr>
            </w:pPr>
          </w:p>
          <w:p w14:paraId="0B326676"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58B003C6" wp14:editId="738DA276">
                  <wp:extent cx="201295" cy="21336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vAlign w:val="center"/>
          </w:tcPr>
          <w:p w14:paraId="27916CAC" w14:textId="77777777" w:rsidR="0098276C" w:rsidRPr="008C1E72" w:rsidRDefault="002E196A" w:rsidP="0098276C">
            <w:pPr>
              <w:spacing w:before="120"/>
              <w:rPr>
                <w:rFonts w:cs="Calibri"/>
                <w:color w:val="1F497D" w:themeColor="text2"/>
                <w:szCs w:val="22"/>
                <w:lang w:val="en-GB"/>
              </w:rPr>
            </w:pPr>
            <w:r w:rsidRPr="008C1E72">
              <w:rPr>
                <w:rFonts w:cs="Calibri"/>
                <w:color w:val="1F497D" w:themeColor="text2"/>
                <w:szCs w:val="22"/>
                <w:lang w:val="en-GB"/>
              </w:rPr>
              <w:t xml:space="preserve">Under the ACNC Act, a charity or its responsible person may object to certain ACNC decisions, requesting they be internally reviewed. </w:t>
            </w:r>
          </w:p>
          <w:p w14:paraId="1102D7FB" w14:textId="77777777" w:rsidR="002E196A" w:rsidRPr="008C1E72" w:rsidRDefault="0098276C" w:rsidP="0098276C">
            <w:pPr>
              <w:spacing w:before="120"/>
              <w:rPr>
                <w:rFonts w:cs="Calibri"/>
                <w:color w:val="1F497D" w:themeColor="text2"/>
                <w:szCs w:val="22"/>
                <w:lang w:val="en-GB"/>
              </w:rPr>
            </w:pPr>
            <w:r w:rsidRPr="008C1E72">
              <w:rPr>
                <w:rFonts w:cs="Calibri"/>
                <w:color w:val="1F497D" w:themeColor="text2"/>
                <w:szCs w:val="22"/>
                <w:lang w:val="en-GB"/>
              </w:rPr>
              <w:t>In 2017-18,</w:t>
            </w:r>
            <w:r w:rsidR="002E196A" w:rsidRPr="008C1E72">
              <w:rPr>
                <w:rFonts w:cs="Calibri"/>
                <w:color w:val="1F497D" w:themeColor="text2"/>
                <w:szCs w:val="22"/>
                <w:lang w:val="en-GB"/>
              </w:rPr>
              <w:t xml:space="preserve"> we received </w:t>
            </w:r>
            <w:r w:rsidR="009B132B" w:rsidRPr="008C1E72">
              <w:rPr>
                <w:rFonts w:cs="Calibri"/>
                <w:color w:val="1F497D" w:themeColor="text2"/>
                <w:szCs w:val="22"/>
                <w:lang w:val="en-GB"/>
              </w:rPr>
              <w:t>19</w:t>
            </w:r>
            <w:r w:rsidRPr="008C1E72">
              <w:rPr>
                <w:rFonts w:cs="Calibri"/>
                <w:color w:val="1F497D" w:themeColor="text2"/>
                <w:szCs w:val="22"/>
                <w:lang w:val="en-GB"/>
              </w:rPr>
              <w:t xml:space="preserve"> objections related to our refusal to register an organisation as a charity or a particular subtype of charity</w:t>
            </w:r>
            <w:r w:rsidR="002E196A" w:rsidRPr="008C1E72">
              <w:rPr>
                <w:rFonts w:cs="Calibri"/>
                <w:color w:val="1F497D" w:themeColor="text2"/>
                <w:szCs w:val="22"/>
                <w:lang w:val="en-GB"/>
              </w:rPr>
              <w:t>.</w:t>
            </w:r>
            <w:r w:rsidRPr="008C1E72">
              <w:rPr>
                <w:rFonts w:cs="Calibri"/>
                <w:color w:val="1F497D" w:themeColor="text2"/>
                <w:szCs w:val="22"/>
                <w:lang w:val="en-GB"/>
              </w:rPr>
              <w:t xml:space="preserve"> </w:t>
            </w:r>
            <w:r w:rsidR="002E196A" w:rsidRPr="008C1E72">
              <w:rPr>
                <w:rFonts w:cs="Calibri"/>
                <w:color w:val="1F497D" w:themeColor="text2"/>
                <w:szCs w:val="22"/>
                <w:lang w:val="en-GB"/>
              </w:rPr>
              <w:t>We also received</w:t>
            </w:r>
            <w:r w:rsidR="00EC0921" w:rsidRPr="008C1E72">
              <w:rPr>
                <w:rFonts w:cs="Calibri"/>
                <w:color w:val="1F497D" w:themeColor="text2"/>
                <w:szCs w:val="22"/>
                <w:lang w:val="en-GB"/>
              </w:rPr>
              <w:t xml:space="preserve"> two</w:t>
            </w:r>
            <w:r w:rsidR="002E196A" w:rsidRPr="008C1E72">
              <w:rPr>
                <w:rFonts w:cs="Calibri"/>
                <w:color w:val="1F497D" w:themeColor="text2"/>
                <w:szCs w:val="22"/>
                <w:lang w:val="en-GB"/>
              </w:rPr>
              <w:t xml:space="preserve"> objections to a revocation decision. </w:t>
            </w:r>
          </w:p>
          <w:p w14:paraId="35247553" w14:textId="77777777" w:rsidR="002E196A" w:rsidRPr="008C1E72" w:rsidRDefault="002E196A" w:rsidP="0098276C">
            <w:pPr>
              <w:spacing w:before="120"/>
              <w:rPr>
                <w:rFonts w:cs="Calibri"/>
                <w:color w:val="1F497D" w:themeColor="text2"/>
                <w:szCs w:val="22"/>
                <w:highlight w:val="yellow"/>
                <w:lang w:val="en-GB"/>
              </w:rPr>
            </w:pPr>
            <w:r w:rsidRPr="008C1E72">
              <w:rPr>
                <w:rFonts w:cs="Calibri"/>
                <w:color w:val="1F497D" w:themeColor="text2"/>
                <w:szCs w:val="22"/>
                <w:lang w:val="en-GB"/>
              </w:rPr>
              <w:t>In all cases, objections were determined by an independent case officer and, if disallowed, reasons for decision were provided to the applicant.</w:t>
            </w:r>
          </w:p>
        </w:tc>
      </w:tr>
      <w:tr w:rsidR="002E196A" w:rsidRPr="008C1E72" w14:paraId="412240EE" w14:textId="77777777" w:rsidTr="00760E04">
        <w:trPr>
          <w:trHeight w:val="943"/>
        </w:trPr>
        <w:tc>
          <w:tcPr>
            <w:tcW w:w="93" w:type="pct"/>
            <w:gridSpan w:val="2"/>
            <w:shd w:val="clear" w:color="auto" w:fill="D9D9D9" w:themeFill="background1" w:themeFillShade="D9"/>
            <w:vAlign w:val="center"/>
          </w:tcPr>
          <w:p w14:paraId="247B3576" w14:textId="77777777" w:rsidR="002E196A" w:rsidRPr="008C1E72" w:rsidRDefault="002E196A" w:rsidP="002E196A">
            <w:pPr>
              <w:spacing w:after="0"/>
              <w:jc w:val="center"/>
              <w:rPr>
                <w:rFonts w:cs="Calibri"/>
                <w:b/>
                <w:szCs w:val="22"/>
                <w:lang w:val="en-GB"/>
              </w:rPr>
            </w:pPr>
            <w:r w:rsidRPr="008C1E72">
              <w:rPr>
                <w:rFonts w:cs="Calibri"/>
                <w:b/>
                <w:szCs w:val="22"/>
                <w:lang w:val="en-GB"/>
              </w:rPr>
              <w:t>D</w:t>
            </w:r>
          </w:p>
        </w:tc>
        <w:tc>
          <w:tcPr>
            <w:tcW w:w="631" w:type="pct"/>
            <w:gridSpan w:val="2"/>
            <w:vAlign w:val="center"/>
          </w:tcPr>
          <w:p w14:paraId="25BEC80F" w14:textId="77777777" w:rsidR="002E196A" w:rsidRPr="008C1E72" w:rsidRDefault="002E196A" w:rsidP="002E196A">
            <w:pPr>
              <w:spacing w:after="0"/>
              <w:rPr>
                <w:rFonts w:cs="Calibri"/>
                <w:szCs w:val="22"/>
                <w:lang w:val="en-GB"/>
              </w:rPr>
            </w:pPr>
            <w:r w:rsidRPr="008C1E72">
              <w:rPr>
                <w:rFonts w:cs="Calibri"/>
                <w:szCs w:val="22"/>
                <w:lang w:val="en-GB"/>
              </w:rPr>
              <w:t xml:space="preserve">Regulators’ advice is consistent and supports predictable outcomes. </w:t>
            </w:r>
          </w:p>
        </w:tc>
        <w:tc>
          <w:tcPr>
            <w:tcW w:w="157" w:type="pct"/>
            <w:gridSpan w:val="2"/>
            <w:shd w:val="clear" w:color="auto" w:fill="D9D9D9" w:themeFill="background1" w:themeFillShade="D9"/>
            <w:vAlign w:val="center"/>
          </w:tcPr>
          <w:p w14:paraId="230DB946" w14:textId="77777777" w:rsidR="002E196A" w:rsidRPr="008C1E72" w:rsidRDefault="002E196A" w:rsidP="002E196A">
            <w:pPr>
              <w:spacing w:after="0"/>
              <w:jc w:val="center"/>
              <w:rPr>
                <w:rFonts w:cs="Calibri"/>
                <w:b/>
                <w:szCs w:val="22"/>
                <w:lang w:val="en-GB"/>
              </w:rPr>
            </w:pPr>
            <w:r w:rsidRPr="008C1E72">
              <w:rPr>
                <w:rFonts w:cs="Calibri"/>
                <w:b/>
                <w:szCs w:val="22"/>
                <w:lang w:val="en-GB"/>
              </w:rPr>
              <w:t>2.8</w:t>
            </w:r>
          </w:p>
        </w:tc>
        <w:tc>
          <w:tcPr>
            <w:tcW w:w="709" w:type="pct"/>
            <w:vAlign w:val="center"/>
          </w:tcPr>
          <w:p w14:paraId="60897364" w14:textId="77777777" w:rsidR="002E196A" w:rsidRPr="008C1E72" w:rsidRDefault="002E196A" w:rsidP="002E196A">
            <w:pPr>
              <w:spacing w:after="0"/>
              <w:rPr>
                <w:rFonts w:cs="Calibri"/>
                <w:b/>
                <w:szCs w:val="22"/>
                <w:lang w:val="en-GB"/>
              </w:rPr>
            </w:pPr>
            <w:r w:rsidRPr="008C1E72">
              <w:rPr>
                <w:rFonts w:cs="Calibri"/>
                <w:b/>
                <w:szCs w:val="22"/>
                <w:lang w:val="en-GB"/>
              </w:rPr>
              <w:t>Staff make decisions according to published policies and procedures</w:t>
            </w:r>
          </w:p>
        </w:tc>
        <w:tc>
          <w:tcPr>
            <w:tcW w:w="915" w:type="pct"/>
            <w:gridSpan w:val="2"/>
            <w:vAlign w:val="center"/>
          </w:tcPr>
          <w:p w14:paraId="141CAFAD" w14:textId="77777777" w:rsidR="002E196A" w:rsidRPr="008C1E72" w:rsidRDefault="00BD1D8D" w:rsidP="00BD1D8D">
            <w:pPr>
              <w:spacing w:after="0"/>
              <w:rPr>
                <w:rFonts w:cs="Calibri"/>
                <w:szCs w:val="22"/>
                <w:highlight w:val="yellow"/>
                <w:lang w:val="en-GB"/>
              </w:rPr>
            </w:pPr>
            <w:r w:rsidRPr="008C1E72">
              <w:rPr>
                <w:rFonts w:cs="Calibri"/>
                <w:color w:val="1F497D" w:themeColor="text2"/>
                <w:szCs w:val="22"/>
                <w:lang w:val="en-GB"/>
              </w:rPr>
              <w:t xml:space="preserve">Policies and </w:t>
            </w:r>
            <w:r w:rsidR="00322B8D" w:rsidRPr="008C1E72">
              <w:rPr>
                <w:rFonts w:cs="Calibri"/>
                <w:color w:val="1F497D" w:themeColor="text2"/>
                <w:szCs w:val="22"/>
                <w:lang w:val="en-GB"/>
              </w:rPr>
              <w:t>procedures</w:t>
            </w:r>
            <w:r w:rsidR="009E6DE6" w:rsidRPr="008C1E72">
              <w:rPr>
                <w:rFonts w:cs="Calibri"/>
                <w:color w:val="1F497D" w:themeColor="text2"/>
                <w:szCs w:val="22"/>
                <w:lang w:val="en-GB"/>
              </w:rPr>
              <w:t>, which were available on our website throughout 2017-18</w:t>
            </w:r>
          </w:p>
        </w:tc>
        <w:tc>
          <w:tcPr>
            <w:tcW w:w="235" w:type="pct"/>
          </w:tcPr>
          <w:p w14:paraId="2B8C4C5A" w14:textId="77777777" w:rsidR="002E196A" w:rsidRPr="008C1E72" w:rsidRDefault="002E196A" w:rsidP="002E196A">
            <w:pPr>
              <w:spacing w:after="0"/>
              <w:jc w:val="center"/>
              <w:rPr>
                <w:rFonts w:cs="Calibri"/>
                <w:noProof/>
                <w:color w:val="1F497D" w:themeColor="text2"/>
                <w:szCs w:val="22"/>
                <w:lang w:eastAsia="en-AU"/>
              </w:rPr>
            </w:pPr>
          </w:p>
          <w:p w14:paraId="4059DDA1" w14:textId="77777777" w:rsidR="00F87508" w:rsidRPr="008C1E72" w:rsidRDefault="00F87508" w:rsidP="002E196A">
            <w:pPr>
              <w:spacing w:after="0"/>
              <w:jc w:val="center"/>
              <w:rPr>
                <w:rFonts w:cs="Calibri"/>
                <w:noProof/>
                <w:color w:val="1F497D" w:themeColor="text2"/>
                <w:szCs w:val="22"/>
                <w:lang w:eastAsia="en-AU"/>
              </w:rPr>
            </w:pPr>
          </w:p>
          <w:p w14:paraId="52984786" w14:textId="77777777" w:rsidR="00F87508" w:rsidRPr="008C1E72" w:rsidRDefault="00F87508" w:rsidP="002E196A">
            <w:pPr>
              <w:spacing w:after="0"/>
              <w:jc w:val="center"/>
              <w:rPr>
                <w:rFonts w:cs="Calibri"/>
                <w:noProof/>
                <w:color w:val="1F497D" w:themeColor="text2"/>
                <w:szCs w:val="22"/>
                <w:lang w:eastAsia="en-AU"/>
              </w:rPr>
            </w:pPr>
          </w:p>
          <w:p w14:paraId="36FCB7F2" w14:textId="77777777" w:rsidR="00F87508" w:rsidRPr="008C1E72" w:rsidRDefault="00F87508" w:rsidP="002E196A">
            <w:pPr>
              <w:spacing w:after="0"/>
              <w:jc w:val="center"/>
              <w:rPr>
                <w:rFonts w:cs="Calibri"/>
                <w:noProof/>
                <w:color w:val="1F497D" w:themeColor="text2"/>
                <w:szCs w:val="22"/>
                <w:lang w:eastAsia="en-AU"/>
              </w:rPr>
            </w:pPr>
          </w:p>
          <w:p w14:paraId="182997B5" w14:textId="77777777" w:rsidR="00F87508" w:rsidRPr="008C1E72" w:rsidRDefault="00F87508" w:rsidP="002E196A">
            <w:pPr>
              <w:spacing w:after="0"/>
              <w:jc w:val="center"/>
              <w:rPr>
                <w:rFonts w:cs="Calibri"/>
                <w:noProof/>
                <w:color w:val="1F497D" w:themeColor="text2"/>
                <w:szCs w:val="22"/>
                <w:lang w:eastAsia="en-AU"/>
              </w:rPr>
            </w:pPr>
          </w:p>
          <w:p w14:paraId="0EADB799"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1B9E7969" wp14:editId="29A48464">
                  <wp:extent cx="201295" cy="21336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tcPr>
          <w:p w14:paraId="39692EF1" w14:textId="3DC4D5A4" w:rsidR="00BD1D8D" w:rsidRPr="008C1E72" w:rsidRDefault="002E196A" w:rsidP="008F5FDA">
            <w:pPr>
              <w:spacing w:before="120"/>
              <w:rPr>
                <w:rFonts w:cs="Calibri"/>
                <w:color w:val="1F497D" w:themeColor="text2"/>
                <w:szCs w:val="22"/>
                <w:lang w:val="en-GB"/>
              </w:rPr>
            </w:pPr>
            <w:r w:rsidRPr="008C1E72">
              <w:rPr>
                <w:rFonts w:cs="Calibri"/>
                <w:color w:val="1F497D" w:themeColor="text2"/>
                <w:szCs w:val="22"/>
                <w:lang w:val="en-GB"/>
              </w:rPr>
              <w:t xml:space="preserve">ACNC staff make decisions according to published policies and </w:t>
            </w:r>
            <w:r w:rsidR="00390CED" w:rsidRPr="008C1E72">
              <w:rPr>
                <w:rFonts w:cs="Calibri"/>
                <w:color w:val="1F497D" w:themeColor="text2"/>
                <w:szCs w:val="22"/>
                <w:lang w:val="en-GB"/>
              </w:rPr>
              <w:t>Operational Procedures</w:t>
            </w:r>
            <w:r w:rsidRPr="008C1E72">
              <w:rPr>
                <w:rFonts w:cs="Calibri"/>
                <w:color w:val="1F497D" w:themeColor="text2"/>
                <w:szCs w:val="22"/>
                <w:lang w:val="en-GB"/>
              </w:rPr>
              <w:t xml:space="preserve">, consistent with the ACNC’s overarching </w:t>
            </w:r>
            <w:hyperlink r:id="rId62" w:history="1">
              <w:r w:rsidRPr="000177B3">
                <w:rPr>
                  <w:rStyle w:val="Hyperlink"/>
                  <w:rFonts w:cs="Calibri"/>
                  <w:szCs w:val="22"/>
                  <w:lang w:val="en-GB"/>
                </w:rPr>
                <w:t>Regulatory Approach Statement</w:t>
              </w:r>
            </w:hyperlink>
            <w:r w:rsidR="000B1E9B" w:rsidRPr="008C1E72">
              <w:rPr>
                <w:rFonts w:cs="Calibri"/>
                <w:color w:val="1F497D" w:themeColor="text2"/>
                <w:szCs w:val="22"/>
                <w:lang w:val="en-GB"/>
              </w:rPr>
              <w:t xml:space="preserve"> and our Policy Framework</w:t>
            </w:r>
            <w:r w:rsidRPr="008C1E72">
              <w:rPr>
                <w:rFonts w:cs="Calibri"/>
                <w:color w:val="1F497D" w:themeColor="text2"/>
                <w:szCs w:val="22"/>
                <w:lang w:val="en-GB"/>
              </w:rPr>
              <w:t>. These policies and procedures are availabl</w:t>
            </w:r>
            <w:r w:rsidR="005E7922" w:rsidRPr="008C1E72">
              <w:rPr>
                <w:rFonts w:cs="Calibri"/>
                <w:color w:val="1F497D" w:themeColor="text2"/>
                <w:szCs w:val="22"/>
                <w:lang w:val="en-GB"/>
              </w:rPr>
              <w:t xml:space="preserve">e publicly on our website </w:t>
            </w:r>
            <w:r w:rsidR="00C576D1" w:rsidRPr="008C1E72">
              <w:rPr>
                <w:rFonts w:cs="Calibri"/>
                <w:color w:val="1F497D" w:themeColor="text2"/>
                <w:szCs w:val="22"/>
                <w:lang w:val="en-GB"/>
              </w:rPr>
              <w:t xml:space="preserve">at </w:t>
            </w:r>
            <w:hyperlink r:id="rId63" w:history="1">
              <w:r w:rsidR="00BD1D8D" w:rsidRPr="008C1E72">
                <w:rPr>
                  <w:rStyle w:val="Hyperlink"/>
                  <w:rFonts w:cs="Calibri"/>
                  <w:szCs w:val="22"/>
                  <w:lang w:val="en-GB"/>
                </w:rPr>
                <w:t>acnc.gov.au/policies</w:t>
              </w:r>
            </w:hyperlink>
            <w:r w:rsidR="00BD1D8D" w:rsidRPr="008C1E72">
              <w:rPr>
                <w:rFonts w:cs="Calibri"/>
                <w:color w:val="1F497D" w:themeColor="text2"/>
                <w:szCs w:val="22"/>
                <w:lang w:val="en-GB"/>
              </w:rPr>
              <w:t xml:space="preserve"> (as previously noted, </w:t>
            </w:r>
            <w:r w:rsidR="004027CE" w:rsidRPr="008C1E72">
              <w:rPr>
                <w:rFonts w:cs="Calibri"/>
                <w:color w:val="1F497D" w:themeColor="text2"/>
                <w:szCs w:val="22"/>
                <w:lang w:val="en-GB"/>
              </w:rPr>
              <w:t>the updated c</w:t>
            </w:r>
            <w:r w:rsidR="00BD1D8D" w:rsidRPr="008C1E72">
              <w:rPr>
                <w:rFonts w:cs="Calibri"/>
                <w:color w:val="1F497D" w:themeColor="text2"/>
                <w:szCs w:val="22"/>
                <w:lang w:val="en-GB"/>
              </w:rPr>
              <w:t>ompliance</w:t>
            </w:r>
            <w:r w:rsidR="004027CE" w:rsidRPr="008C1E72">
              <w:rPr>
                <w:rFonts w:cs="Calibri"/>
                <w:color w:val="1F497D" w:themeColor="text2"/>
                <w:szCs w:val="22"/>
                <w:lang w:val="en-GB"/>
              </w:rPr>
              <w:t>-related</w:t>
            </w:r>
            <w:r w:rsidR="00BD1D8D" w:rsidRPr="008C1E72">
              <w:rPr>
                <w:rFonts w:cs="Calibri"/>
                <w:color w:val="1F497D" w:themeColor="text2"/>
                <w:szCs w:val="22"/>
                <w:lang w:val="en-GB"/>
              </w:rPr>
              <w:t xml:space="preserve"> policies and procedures were </w:t>
            </w:r>
            <w:r w:rsidR="004027CE" w:rsidRPr="008C1E72">
              <w:rPr>
                <w:rFonts w:cs="Calibri"/>
                <w:color w:val="1F497D" w:themeColor="text2"/>
                <w:szCs w:val="22"/>
                <w:lang w:val="en-GB"/>
              </w:rPr>
              <w:t xml:space="preserve">published on our website in November </w:t>
            </w:r>
            <w:r w:rsidR="00BD1D8D" w:rsidRPr="008C1E72">
              <w:rPr>
                <w:rFonts w:cs="Calibri"/>
                <w:color w:val="1F497D" w:themeColor="text2"/>
                <w:szCs w:val="22"/>
                <w:lang w:val="en-GB"/>
              </w:rPr>
              <w:t xml:space="preserve">2017). </w:t>
            </w:r>
          </w:p>
          <w:p w14:paraId="133A9C89" w14:textId="77777777" w:rsidR="00BD1D8D" w:rsidRPr="008C1E72" w:rsidRDefault="00BD1D8D" w:rsidP="008F5FDA">
            <w:pPr>
              <w:spacing w:before="120"/>
              <w:rPr>
                <w:rFonts w:cs="Calibri"/>
                <w:color w:val="1F497D" w:themeColor="text2"/>
                <w:szCs w:val="22"/>
                <w:lang w:val="en-GB"/>
              </w:rPr>
            </w:pPr>
            <w:r w:rsidRPr="008C1E72">
              <w:rPr>
                <w:rFonts w:cs="Calibri"/>
                <w:color w:val="1F497D" w:themeColor="text2"/>
                <w:szCs w:val="22"/>
                <w:lang w:val="en-GB"/>
              </w:rPr>
              <w:t xml:space="preserve">These include </w:t>
            </w:r>
            <w:r w:rsidR="002E196A" w:rsidRPr="008C1E72">
              <w:rPr>
                <w:rFonts w:cs="Calibri"/>
                <w:color w:val="1F497D" w:themeColor="text2"/>
                <w:szCs w:val="22"/>
                <w:lang w:val="en-GB"/>
              </w:rPr>
              <w:t xml:space="preserve">the </w:t>
            </w:r>
            <w:hyperlink r:id="rId64" w:history="1">
              <w:r w:rsidR="002E196A" w:rsidRPr="00972E4C">
                <w:rPr>
                  <w:rStyle w:val="Hyperlink"/>
                  <w:rFonts w:cs="Calibri"/>
                </w:rPr>
                <w:t>Commissioner’s Policy Statement 2012/03: Decision-making</w:t>
              </w:r>
            </w:hyperlink>
            <w:r w:rsidR="002E196A" w:rsidRPr="008C1E72">
              <w:rPr>
                <w:rFonts w:cs="Calibri"/>
                <w:color w:val="1F497D" w:themeColor="text2"/>
                <w:szCs w:val="22"/>
                <w:lang w:val="en-GB"/>
              </w:rPr>
              <w:t xml:space="preserve">, which sets out how the ACNC will make decisions in order to ensure high quality decision-making, promote consistency in decisions and to inform the public about how the ACNC makes decisions. </w:t>
            </w:r>
            <w:r w:rsidRPr="008C1E72">
              <w:rPr>
                <w:rFonts w:cs="Calibri"/>
                <w:color w:val="1F497D" w:themeColor="text2"/>
                <w:szCs w:val="22"/>
                <w:lang w:val="en-GB"/>
              </w:rPr>
              <w:t xml:space="preserve">The ACNC undertakes quality assurance processes in relation to our decisions. To ensure consistency, ACNC administrative decision makers consult with the ACNC’s Legal Counsel as required. </w:t>
            </w:r>
          </w:p>
          <w:p w14:paraId="4A93E419" w14:textId="77777777" w:rsidR="002E196A" w:rsidRPr="008C1E72" w:rsidRDefault="00BD1D8D" w:rsidP="008F5FDA">
            <w:pPr>
              <w:spacing w:before="120"/>
              <w:rPr>
                <w:rFonts w:cs="Calibri"/>
                <w:color w:val="1F497D" w:themeColor="text2"/>
                <w:szCs w:val="22"/>
                <w:lang w:val="en-GB"/>
              </w:rPr>
            </w:pPr>
            <w:r w:rsidRPr="008C1E72">
              <w:rPr>
                <w:rFonts w:cs="Calibri"/>
                <w:color w:val="1F497D" w:themeColor="text2"/>
                <w:szCs w:val="22"/>
                <w:lang w:val="en-GB"/>
              </w:rPr>
              <w:t>In 2017-18, the ACNC’s legal team also conducted decision-making training for staff at the ACNC</w:t>
            </w:r>
            <w:r w:rsidR="008F5FDA" w:rsidRPr="008C1E72">
              <w:rPr>
                <w:rFonts w:cs="Calibri"/>
                <w:color w:val="1F497D" w:themeColor="text2"/>
                <w:szCs w:val="22"/>
                <w:lang w:val="en-GB"/>
              </w:rPr>
              <w:t xml:space="preserve"> to ensure that we continue to make high quality decisions.</w:t>
            </w:r>
          </w:p>
          <w:p w14:paraId="26A272FE" w14:textId="77777777" w:rsidR="003A08BF" w:rsidRPr="008C1E72" w:rsidRDefault="003A08BF" w:rsidP="008F5FDA">
            <w:pPr>
              <w:spacing w:before="120"/>
              <w:rPr>
                <w:rFonts w:cs="Calibri"/>
                <w:color w:val="1F497D" w:themeColor="text2"/>
                <w:szCs w:val="22"/>
                <w:lang w:val="en-GB"/>
              </w:rPr>
            </w:pPr>
            <w:r w:rsidRPr="008C1E72">
              <w:rPr>
                <w:rFonts w:cs="Calibri"/>
                <w:color w:val="1F497D" w:themeColor="text2"/>
                <w:szCs w:val="22"/>
                <w:lang w:val="en-GB"/>
              </w:rPr>
              <w:t xml:space="preserve">On 4 December 2017, the Administrative Appeals Tribunal affirmed the decision of the ACNC that Waubra Foundation was not entitled to be registered as a health promotion charity or a charity with a purpose of promoting or protecting human rights.  The decision of </w:t>
            </w:r>
            <w:r w:rsidRPr="008C1E72">
              <w:rPr>
                <w:rFonts w:cs="Calibri"/>
                <w:i/>
                <w:color w:val="1F497D" w:themeColor="text2"/>
                <w:szCs w:val="22"/>
                <w:lang w:val="en-GB"/>
              </w:rPr>
              <w:t>Waubra Foundation and Commissioner of Australian Charities and Not-for-profits Commission [2017] AATA 2424</w:t>
            </w:r>
            <w:r w:rsidRPr="008C1E72">
              <w:rPr>
                <w:rFonts w:cs="Calibri"/>
                <w:color w:val="1F497D" w:themeColor="text2"/>
                <w:szCs w:val="22"/>
                <w:lang w:val="en-GB"/>
              </w:rPr>
              <w:t xml:space="preserve"> is the first decision of the AAT on the ACNC legislation. The ACNC welcomes the Tribunal’s decision, and the greater clarity it provides about the issues that were raised by the application.</w:t>
            </w:r>
          </w:p>
        </w:tc>
      </w:tr>
      <w:tr w:rsidR="002E196A" w:rsidRPr="008C1E72" w14:paraId="5E1B1CA2" w14:textId="77777777" w:rsidTr="00760E04">
        <w:trPr>
          <w:trHeight w:val="567"/>
        </w:trPr>
        <w:tc>
          <w:tcPr>
            <w:tcW w:w="5000" w:type="pct"/>
            <w:gridSpan w:val="11"/>
            <w:shd w:val="clear" w:color="auto" w:fill="B8CCE4" w:themeFill="accent1" w:themeFillTint="66"/>
            <w:vAlign w:val="center"/>
          </w:tcPr>
          <w:p w14:paraId="5A21CF50" w14:textId="77777777" w:rsidR="002E196A" w:rsidRPr="008C1E72" w:rsidRDefault="002E196A" w:rsidP="002E196A">
            <w:pPr>
              <w:spacing w:after="0"/>
              <w:rPr>
                <w:rFonts w:cs="Calibri"/>
                <w:szCs w:val="22"/>
                <w:lang w:val="en-GB"/>
              </w:rPr>
            </w:pPr>
            <w:r w:rsidRPr="008C1E72">
              <w:rPr>
                <w:rFonts w:cs="Calibri"/>
                <w:szCs w:val="22"/>
                <w:lang w:val="en-GB"/>
              </w:rPr>
              <w:br w:type="page"/>
            </w:r>
            <w:r w:rsidRPr="008C1E72">
              <w:rPr>
                <w:rFonts w:cs="Calibri"/>
                <w:b/>
                <w:szCs w:val="22"/>
                <w:lang w:val="en-GB"/>
              </w:rPr>
              <w:t>KPI 3 – Actions undertaken by regulators are proportionate to the regulatory risk being managed</w:t>
            </w:r>
          </w:p>
        </w:tc>
      </w:tr>
      <w:tr w:rsidR="002E196A" w:rsidRPr="008C1E72" w14:paraId="2E7BE1E8" w14:textId="77777777" w:rsidTr="00972E4C">
        <w:trPr>
          <w:trHeight w:val="469"/>
        </w:trPr>
        <w:tc>
          <w:tcPr>
            <w:tcW w:w="93" w:type="pct"/>
            <w:gridSpan w:val="2"/>
            <w:vMerge w:val="restart"/>
            <w:shd w:val="clear" w:color="auto" w:fill="D9D9D9" w:themeFill="background1" w:themeFillShade="D9"/>
            <w:vAlign w:val="center"/>
          </w:tcPr>
          <w:p w14:paraId="51265442" w14:textId="77777777" w:rsidR="002E196A" w:rsidRPr="008C1E72" w:rsidRDefault="002E196A" w:rsidP="002E196A">
            <w:pPr>
              <w:suppressAutoHyphens/>
              <w:jc w:val="center"/>
              <w:rPr>
                <w:rFonts w:cs="Calibri"/>
                <w:b/>
                <w:szCs w:val="22"/>
                <w:lang w:val="en-GB"/>
              </w:rPr>
            </w:pPr>
            <w:r w:rsidRPr="008C1E72">
              <w:rPr>
                <w:rFonts w:cs="Calibri"/>
                <w:b/>
                <w:szCs w:val="22"/>
                <w:lang w:val="en-GB"/>
              </w:rPr>
              <w:t>A</w:t>
            </w:r>
          </w:p>
        </w:tc>
        <w:tc>
          <w:tcPr>
            <w:tcW w:w="631" w:type="pct"/>
            <w:gridSpan w:val="2"/>
            <w:vMerge w:val="restart"/>
            <w:vAlign w:val="center"/>
          </w:tcPr>
          <w:p w14:paraId="467B46E9" w14:textId="77777777" w:rsidR="002E196A" w:rsidRPr="008C1E72" w:rsidRDefault="002E196A" w:rsidP="002E196A">
            <w:pPr>
              <w:spacing w:after="0"/>
              <w:rPr>
                <w:rFonts w:cs="Calibri"/>
                <w:szCs w:val="22"/>
                <w:lang w:val="en-GB"/>
              </w:rPr>
            </w:pPr>
            <w:r w:rsidRPr="008C1E72">
              <w:rPr>
                <w:rFonts w:cs="Calibri"/>
                <w:szCs w:val="22"/>
                <w:lang w:val="en-GB"/>
              </w:rPr>
              <w:t>Regulators apply a risk-based, proportionate approach to compliance obligations, engagement and regulatory enforcement actions.</w:t>
            </w:r>
          </w:p>
        </w:tc>
        <w:tc>
          <w:tcPr>
            <w:tcW w:w="157" w:type="pct"/>
            <w:gridSpan w:val="2"/>
            <w:shd w:val="clear" w:color="auto" w:fill="D9D9D9" w:themeFill="background1" w:themeFillShade="D9"/>
            <w:vAlign w:val="center"/>
          </w:tcPr>
          <w:p w14:paraId="025C37CF" w14:textId="77777777" w:rsidR="002E196A" w:rsidRPr="008C1E72" w:rsidRDefault="002E196A" w:rsidP="002E196A">
            <w:pPr>
              <w:suppressAutoHyphens/>
              <w:jc w:val="center"/>
              <w:rPr>
                <w:rFonts w:cs="Calibri"/>
                <w:b/>
                <w:szCs w:val="22"/>
                <w:lang w:val="en-GB"/>
              </w:rPr>
            </w:pPr>
            <w:r w:rsidRPr="008C1E72">
              <w:rPr>
                <w:rFonts w:cs="Calibri"/>
                <w:b/>
                <w:szCs w:val="22"/>
                <w:lang w:val="en-GB"/>
              </w:rPr>
              <w:t>3.1</w:t>
            </w:r>
          </w:p>
        </w:tc>
        <w:tc>
          <w:tcPr>
            <w:tcW w:w="709" w:type="pct"/>
            <w:vAlign w:val="center"/>
          </w:tcPr>
          <w:p w14:paraId="26D5A78A" w14:textId="77777777" w:rsidR="002E196A" w:rsidRPr="008C1E72" w:rsidRDefault="002E196A" w:rsidP="002E196A">
            <w:pPr>
              <w:spacing w:after="0"/>
              <w:rPr>
                <w:rFonts w:cs="Calibri"/>
                <w:b/>
                <w:szCs w:val="22"/>
                <w:lang w:val="en-GB"/>
              </w:rPr>
            </w:pPr>
            <w:r w:rsidRPr="008C1E72">
              <w:rPr>
                <w:rFonts w:cs="Calibri"/>
                <w:b/>
                <w:szCs w:val="22"/>
                <w:lang w:val="en-GB"/>
              </w:rPr>
              <w:t>Regulatory approach is risk-based and proportionate</w:t>
            </w:r>
          </w:p>
        </w:tc>
        <w:tc>
          <w:tcPr>
            <w:tcW w:w="915" w:type="pct"/>
            <w:gridSpan w:val="2"/>
            <w:vAlign w:val="center"/>
          </w:tcPr>
          <w:p w14:paraId="66DCDE80" w14:textId="77777777" w:rsidR="002E196A" w:rsidRPr="008C1E72" w:rsidRDefault="008F5FDA" w:rsidP="00972E4C">
            <w:pPr>
              <w:spacing w:after="0"/>
              <w:rPr>
                <w:rFonts w:cs="Calibri"/>
                <w:color w:val="1F497D" w:themeColor="text2"/>
                <w:szCs w:val="22"/>
                <w:lang w:val="en-GB"/>
              </w:rPr>
            </w:pPr>
            <w:r w:rsidRPr="008C1E72">
              <w:rPr>
                <w:rFonts w:cs="Calibri"/>
                <w:color w:val="1F497D" w:themeColor="text2"/>
                <w:szCs w:val="22"/>
                <w:lang w:val="en-GB"/>
              </w:rPr>
              <w:t xml:space="preserve">Publication of the </w:t>
            </w:r>
            <w:r w:rsidRPr="008C1E72">
              <w:rPr>
                <w:rFonts w:cs="Calibri"/>
                <w:i/>
                <w:color w:val="1F497D" w:themeColor="text2"/>
                <w:szCs w:val="22"/>
                <w:lang w:val="en-GB"/>
              </w:rPr>
              <w:t>Charity Compliance Report 2017</w:t>
            </w:r>
          </w:p>
          <w:p w14:paraId="4250D381" w14:textId="77777777" w:rsidR="002E196A" w:rsidRPr="008C1E72" w:rsidRDefault="002E196A" w:rsidP="00972E4C">
            <w:pPr>
              <w:spacing w:after="0"/>
              <w:rPr>
                <w:rFonts w:cs="Calibri"/>
                <w:color w:val="1F497D" w:themeColor="text2"/>
                <w:szCs w:val="22"/>
                <w:lang w:val="en-GB"/>
              </w:rPr>
            </w:pPr>
            <w:r w:rsidRPr="008C1E72">
              <w:rPr>
                <w:rFonts w:cs="Calibri"/>
                <w:szCs w:val="22"/>
                <w:highlight w:val="yellow"/>
                <w:lang w:val="en-GB"/>
              </w:rPr>
              <w:br/>
            </w:r>
            <w:r w:rsidR="00167A4A" w:rsidRPr="008C1E72">
              <w:rPr>
                <w:rFonts w:cs="Calibri"/>
                <w:color w:val="1F497D" w:themeColor="text2"/>
                <w:szCs w:val="22"/>
                <w:lang w:val="en-GB"/>
              </w:rPr>
              <w:t xml:space="preserve"> Our Commissioner’s Policy Statement – Compliance and Enforcement and associated procedures were updated in October, and published on our website in November 2017</w:t>
            </w:r>
          </w:p>
          <w:p w14:paraId="31CED122" w14:textId="77777777" w:rsidR="00920207" w:rsidRPr="008C1E72" w:rsidRDefault="00920207" w:rsidP="00972E4C">
            <w:pPr>
              <w:spacing w:after="0"/>
              <w:rPr>
                <w:rFonts w:cs="Calibri"/>
                <w:color w:val="1F497D" w:themeColor="text2"/>
                <w:szCs w:val="22"/>
                <w:lang w:val="en-GB"/>
              </w:rPr>
            </w:pPr>
          </w:p>
          <w:p w14:paraId="6639D3F3" w14:textId="77777777" w:rsidR="00920207" w:rsidRPr="008C1E72" w:rsidRDefault="009E6DE6" w:rsidP="00972E4C">
            <w:pPr>
              <w:spacing w:after="0"/>
              <w:rPr>
                <w:rFonts w:cs="Calibri"/>
                <w:szCs w:val="22"/>
                <w:highlight w:val="yellow"/>
                <w:lang w:val="en-GB"/>
              </w:rPr>
            </w:pPr>
            <w:r w:rsidRPr="008C1E72">
              <w:rPr>
                <w:rFonts w:cs="Calibri"/>
                <w:color w:val="1F497D" w:themeColor="text2"/>
                <w:szCs w:val="22"/>
                <w:lang w:val="en-GB"/>
              </w:rPr>
              <w:t xml:space="preserve">The </w:t>
            </w:r>
            <w:r w:rsidR="00920207" w:rsidRPr="008C1E72">
              <w:rPr>
                <w:rFonts w:cs="Calibri"/>
                <w:color w:val="1F497D" w:themeColor="text2"/>
                <w:szCs w:val="22"/>
                <w:lang w:val="en-GB"/>
              </w:rPr>
              <w:t>ACNC’s Regulatory Approach Statement</w:t>
            </w:r>
            <w:r w:rsidRPr="008C1E72">
              <w:rPr>
                <w:rFonts w:cs="Calibri"/>
                <w:color w:val="1F497D" w:themeColor="text2"/>
                <w:szCs w:val="22"/>
                <w:lang w:val="en-GB"/>
              </w:rPr>
              <w:t>, which was available on our website throughout 2017-18</w:t>
            </w:r>
          </w:p>
        </w:tc>
        <w:tc>
          <w:tcPr>
            <w:tcW w:w="235" w:type="pct"/>
          </w:tcPr>
          <w:p w14:paraId="5384FFDF" w14:textId="77777777" w:rsidR="00F87508" w:rsidRPr="008C1E72" w:rsidRDefault="00F87508" w:rsidP="002E196A">
            <w:pPr>
              <w:spacing w:after="0"/>
              <w:jc w:val="center"/>
              <w:rPr>
                <w:rFonts w:cs="Calibri"/>
                <w:noProof/>
                <w:color w:val="1F497D" w:themeColor="text2"/>
                <w:szCs w:val="22"/>
                <w:highlight w:val="yellow"/>
                <w:lang w:eastAsia="en-AU"/>
              </w:rPr>
            </w:pPr>
          </w:p>
          <w:p w14:paraId="3058EBC0" w14:textId="77777777" w:rsidR="00F87508" w:rsidRPr="008C1E72" w:rsidRDefault="00F87508" w:rsidP="002E196A">
            <w:pPr>
              <w:spacing w:after="0"/>
              <w:jc w:val="center"/>
              <w:rPr>
                <w:rFonts w:cs="Calibri"/>
                <w:noProof/>
                <w:color w:val="1F497D" w:themeColor="text2"/>
                <w:szCs w:val="22"/>
                <w:highlight w:val="yellow"/>
                <w:lang w:eastAsia="en-AU"/>
              </w:rPr>
            </w:pPr>
          </w:p>
          <w:p w14:paraId="5E58E124" w14:textId="77777777" w:rsidR="00F87508" w:rsidRPr="008C1E72" w:rsidRDefault="00F87508" w:rsidP="002E196A">
            <w:pPr>
              <w:spacing w:after="0"/>
              <w:jc w:val="center"/>
              <w:rPr>
                <w:rFonts w:cs="Calibri"/>
                <w:noProof/>
                <w:color w:val="1F497D" w:themeColor="text2"/>
                <w:szCs w:val="22"/>
                <w:highlight w:val="yellow"/>
                <w:lang w:eastAsia="en-AU"/>
              </w:rPr>
            </w:pPr>
          </w:p>
          <w:p w14:paraId="12C20B5B" w14:textId="77777777" w:rsidR="00F87508" w:rsidRPr="008C1E72" w:rsidRDefault="00F87508" w:rsidP="002E196A">
            <w:pPr>
              <w:spacing w:after="0"/>
              <w:jc w:val="center"/>
              <w:rPr>
                <w:rFonts w:cs="Calibri"/>
                <w:noProof/>
                <w:color w:val="1F497D" w:themeColor="text2"/>
                <w:szCs w:val="22"/>
                <w:highlight w:val="yellow"/>
                <w:lang w:eastAsia="en-AU"/>
              </w:rPr>
            </w:pPr>
          </w:p>
          <w:p w14:paraId="393A5D67" w14:textId="77777777" w:rsidR="00F87508" w:rsidRPr="008C1E72" w:rsidRDefault="00F87508" w:rsidP="002E196A">
            <w:pPr>
              <w:spacing w:after="0"/>
              <w:jc w:val="center"/>
              <w:rPr>
                <w:rFonts w:cs="Calibri"/>
                <w:noProof/>
                <w:color w:val="1F497D" w:themeColor="text2"/>
                <w:szCs w:val="22"/>
                <w:highlight w:val="yellow"/>
                <w:lang w:eastAsia="en-AU"/>
              </w:rPr>
            </w:pPr>
          </w:p>
          <w:p w14:paraId="0F1E0CDE" w14:textId="77777777" w:rsidR="00F87508" w:rsidRPr="008C1E72" w:rsidRDefault="00F87508" w:rsidP="002E196A">
            <w:pPr>
              <w:spacing w:after="0"/>
              <w:jc w:val="center"/>
              <w:rPr>
                <w:rFonts w:cs="Calibri"/>
                <w:noProof/>
                <w:color w:val="1F497D" w:themeColor="text2"/>
                <w:szCs w:val="22"/>
                <w:highlight w:val="yellow"/>
                <w:lang w:eastAsia="en-AU"/>
              </w:rPr>
            </w:pPr>
          </w:p>
          <w:p w14:paraId="0EE048F7" w14:textId="77777777" w:rsidR="00F87508" w:rsidRPr="008C1E72" w:rsidRDefault="00F87508" w:rsidP="002E196A">
            <w:pPr>
              <w:spacing w:after="0"/>
              <w:jc w:val="center"/>
              <w:rPr>
                <w:rFonts w:cs="Calibri"/>
                <w:noProof/>
                <w:color w:val="1F497D" w:themeColor="text2"/>
                <w:szCs w:val="22"/>
                <w:highlight w:val="yellow"/>
                <w:lang w:eastAsia="en-AU"/>
              </w:rPr>
            </w:pPr>
          </w:p>
          <w:p w14:paraId="4D5BD491" w14:textId="77777777" w:rsidR="00F87508" w:rsidRPr="008C1E72" w:rsidRDefault="00F87508" w:rsidP="002E196A">
            <w:pPr>
              <w:spacing w:after="0"/>
              <w:jc w:val="center"/>
              <w:rPr>
                <w:rFonts w:cs="Calibri"/>
                <w:noProof/>
                <w:color w:val="1F497D" w:themeColor="text2"/>
                <w:szCs w:val="22"/>
                <w:highlight w:val="yellow"/>
                <w:lang w:eastAsia="en-AU"/>
              </w:rPr>
            </w:pPr>
          </w:p>
          <w:p w14:paraId="56F6984A" w14:textId="77777777" w:rsidR="00F87508" w:rsidRPr="008C1E72" w:rsidRDefault="00F87508" w:rsidP="002E196A">
            <w:pPr>
              <w:spacing w:after="0"/>
              <w:jc w:val="center"/>
              <w:rPr>
                <w:rFonts w:cs="Calibri"/>
                <w:noProof/>
                <w:color w:val="1F497D" w:themeColor="text2"/>
                <w:szCs w:val="22"/>
                <w:highlight w:val="yellow"/>
                <w:lang w:eastAsia="en-AU"/>
              </w:rPr>
            </w:pPr>
          </w:p>
          <w:p w14:paraId="4D3D3203" w14:textId="77777777" w:rsidR="00F87508" w:rsidRPr="008C1E72" w:rsidRDefault="00F87508" w:rsidP="002E196A">
            <w:pPr>
              <w:spacing w:after="0"/>
              <w:jc w:val="center"/>
              <w:rPr>
                <w:rFonts w:cs="Calibri"/>
                <w:noProof/>
                <w:color w:val="1F497D" w:themeColor="text2"/>
                <w:szCs w:val="22"/>
                <w:highlight w:val="yellow"/>
                <w:lang w:eastAsia="en-AU"/>
              </w:rPr>
            </w:pPr>
          </w:p>
          <w:p w14:paraId="3FB482D8" w14:textId="77777777" w:rsidR="00F87508" w:rsidRPr="008C1E72" w:rsidRDefault="00F87508" w:rsidP="002E196A">
            <w:pPr>
              <w:spacing w:after="0"/>
              <w:jc w:val="center"/>
              <w:rPr>
                <w:rFonts w:cs="Calibri"/>
                <w:noProof/>
                <w:color w:val="1F497D" w:themeColor="text2"/>
                <w:szCs w:val="22"/>
                <w:highlight w:val="yellow"/>
                <w:lang w:eastAsia="en-AU"/>
              </w:rPr>
            </w:pPr>
          </w:p>
          <w:p w14:paraId="0B0C6593" w14:textId="77777777" w:rsidR="00F87508" w:rsidRPr="008C1E72" w:rsidRDefault="00F87508" w:rsidP="002E196A">
            <w:pPr>
              <w:spacing w:after="0"/>
              <w:jc w:val="center"/>
              <w:rPr>
                <w:rFonts w:cs="Calibri"/>
                <w:noProof/>
                <w:color w:val="1F497D" w:themeColor="text2"/>
                <w:szCs w:val="22"/>
                <w:highlight w:val="yellow"/>
                <w:lang w:eastAsia="en-AU"/>
              </w:rPr>
            </w:pPr>
          </w:p>
          <w:p w14:paraId="75A1685A" w14:textId="77777777" w:rsidR="00F87508" w:rsidRPr="008C1E72" w:rsidRDefault="00F87508" w:rsidP="002E196A">
            <w:pPr>
              <w:spacing w:after="0"/>
              <w:jc w:val="center"/>
              <w:rPr>
                <w:rFonts w:cs="Calibri"/>
                <w:noProof/>
                <w:color w:val="1F497D" w:themeColor="text2"/>
                <w:szCs w:val="22"/>
                <w:highlight w:val="yellow"/>
                <w:lang w:eastAsia="en-AU"/>
              </w:rPr>
            </w:pPr>
          </w:p>
          <w:p w14:paraId="4C2D4E7D" w14:textId="77777777" w:rsidR="00F87508" w:rsidRPr="008C1E72" w:rsidRDefault="00F87508" w:rsidP="002E196A">
            <w:pPr>
              <w:spacing w:after="0"/>
              <w:jc w:val="center"/>
              <w:rPr>
                <w:rFonts w:cs="Calibri"/>
                <w:noProof/>
                <w:color w:val="1F497D" w:themeColor="text2"/>
                <w:szCs w:val="22"/>
                <w:highlight w:val="yellow"/>
                <w:lang w:eastAsia="en-AU"/>
              </w:rPr>
            </w:pPr>
          </w:p>
          <w:p w14:paraId="0128ECC0" w14:textId="77777777" w:rsidR="00F87508" w:rsidRPr="008C1E72" w:rsidRDefault="00F87508" w:rsidP="002E196A">
            <w:pPr>
              <w:spacing w:after="0"/>
              <w:jc w:val="center"/>
              <w:rPr>
                <w:rFonts w:cs="Calibri"/>
                <w:noProof/>
                <w:color w:val="1F497D" w:themeColor="text2"/>
                <w:szCs w:val="22"/>
                <w:highlight w:val="yellow"/>
                <w:lang w:eastAsia="en-AU"/>
              </w:rPr>
            </w:pPr>
          </w:p>
          <w:p w14:paraId="1A0F4557" w14:textId="77777777" w:rsidR="00F87508" w:rsidRPr="008C1E72" w:rsidRDefault="00F87508" w:rsidP="002E196A">
            <w:pPr>
              <w:spacing w:after="0"/>
              <w:jc w:val="center"/>
              <w:rPr>
                <w:rFonts w:cs="Calibri"/>
                <w:noProof/>
                <w:color w:val="1F497D" w:themeColor="text2"/>
                <w:szCs w:val="22"/>
                <w:highlight w:val="yellow"/>
                <w:lang w:eastAsia="en-AU"/>
              </w:rPr>
            </w:pPr>
          </w:p>
          <w:p w14:paraId="56E3C7F0" w14:textId="77777777" w:rsidR="002E196A" w:rsidRPr="008C1E72" w:rsidRDefault="00F87508"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2777C29A" wp14:editId="3871525B">
                  <wp:extent cx="201295" cy="21336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p w14:paraId="7B7A2367" w14:textId="77777777" w:rsidR="002E196A" w:rsidRPr="008C1E72" w:rsidRDefault="002E196A" w:rsidP="002E196A">
            <w:pPr>
              <w:spacing w:after="0"/>
              <w:jc w:val="center"/>
              <w:rPr>
                <w:rFonts w:cs="Calibri"/>
                <w:noProof/>
                <w:color w:val="1F497D" w:themeColor="text2"/>
                <w:szCs w:val="22"/>
                <w:highlight w:val="yellow"/>
                <w:lang w:eastAsia="en-AU"/>
              </w:rPr>
            </w:pPr>
          </w:p>
          <w:p w14:paraId="17AD2D71" w14:textId="77777777" w:rsidR="002E196A" w:rsidRPr="008C1E72" w:rsidRDefault="002E196A" w:rsidP="002E196A">
            <w:pPr>
              <w:spacing w:after="0"/>
              <w:jc w:val="center"/>
              <w:rPr>
                <w:rFonts w:cs="Calibri"/>
                <w:noProof/>
                <w:color w:val="1F497D" w:themeColor="text2"/>
                <w:szCs w:val="22"/>
                <w:highlight w:val="yellow"/>
                <w:lang w:eastAsia="en-AU"/>
              </w:rPr>
            </w:pPr>
          </w:p>
          <w:p w14:paraId="69B507D0" w14:textId="77777777" w:rsidR="002E196A" w:rsidRPr="008C1E72" w:rsidRDefault="002E196A" w:rsidP="002E196A">
            <w:pPr>
              <w:spacing w:after="0"/>
              <w:jc w:val="center"/>
              <w:rPr>
                <w:rFonts w:cs="Calibri"/>
                <w:noProof/>
                <w:color w:val="1F497D" w:themeColor="text2"/>
                <w:szCs w:val="22"/>
                <w:highlight w:val="yellow"/>
                <w:lang w:eastAsia="en-AU"/>
              </w:rPr>
            </w:pPr>
          </w:p>
          <w:p w14:paraId="60F9A681" w14:textId="77777777" w:rsidR="002E196A" w:rsidRPr="008C1E72" w:rsidRDefault="002E196A" w:rsidP="002E196A">
            <w:pPr>
              <w:spacing w:after="0"/>
              <w:jc w:val="center"/>
              <w:rPr>
                <w:rFonts w:cs="Calibri"/>
                <w:noProof/>
                <w:color w:val="1F497D" w:themeColor="text2"/>
                <w:szCs w:val="22"/>
                <w:highlight w:val="yellow"/>
                <w:lang w:eastAsia="en-AU"/>
              </w:rPr>
            </w:pPr>
          </w:p>
        </w:tc>
        <w:tc>
          <w:tcPr>
            <w:tcW w:w="2260" w:type="pct"/>
            <w:vAlign w:val="center"/>
          </w:tcPr>
          <w:p w14:paraId="64758AF0" w14:textId="77777777" w:rsidR="00FA49A2" w:rsidRPr="008C1E72" w:rsidRDefault="00FA49A2" w:rsidP="00FA49A2">
            <w:pPr>
              <w:spacing w:before="120"/>
              <w:rPr>
                <w:rFonts w:cs="Calibri"/>
                <w:color w:val="1F497D" w:themeColor="text2"/>
                <w:szCs w:val="22"/>
                <w:lang w:eastAsia="en-AU"/>
              </w:rPr>
            </w:pPr>
            <w:r w:rsidRPr="008C1E72">
              <w:rPr>
                <w:rFonts w:cs="Calibri"/>
                <w:color w:val="1F497D" w:themeColor="text2"/>
                <w:szCs w:val="22"/>
                <w:lang w:eastAsia="en-AU"/>
              </w:rPr>
              <w:t xml:space="preserve">Consistent with the ACNC’s </w:t>
            </w:r>
            <w:hyperlink r:id="rId65" w:history="1">
              <w:r w:rsidR="000177B3" w:rsidRPr="000177B3">
                <w:rPr>
                  <w:rStyle w:val="Hyperlink"/>
                  <w:rFonts w:cs="Calibri"/>
                  <w:szCs w:val="22"/>
                  <w:lang w:eastAsia="en-AU"/>
                </w:rPr>
                <w:t>Regulatory Approach S</w:t>
              </w:r>
              <w:r w:rsidRPr="000177B3">
                <w:rPr>
                  <w:rStyle w:val="Hyperlink"/>
                  <w:rFonts w:cs="Calibri"/>
                  <w:szCs w:val="22"/>
                  <w:lang w:eastAsia="en-AU"/>
                </w:rPr>
                <w:t>tatement</w:t>
              </w:r>
            </w:hyperlink>
            <w:r w:rsidRPr="008C1E72">
              <w:rPr>
                <w:rFonts w:cs="Calibri"/>
                <w:color w:val="1F497D" w:themeColor="text2"/>
                <w:szCs w:val="22"/>
                <w:lang w:eastAsia="en-AU"/>
              </w:rPr>
              <w:t xml:space="preserve"> and </w:t>
            </w:r>
            <w:r w:rsidR="00250070" w:rsidRPr="008C1E72">
              <w:rPr>
                <w:rFonts w:cs="Calibri"/>
                <w:color w:val="1F497D" w:themeColor="text2"/>
                <w:szCs w:val="22"/>
                <w:lang w:eastAsia="en-AU"/>
              </w:rPr>
              <w:t xml:space="preserve">the </w:t>
            </w:r>
            <w:hyperlink r:id="rId66" w:history="1">
              <w:r w:rsidR="000177B3">
                <w:rPr>
                  <w:rStyle w:val="Hyperlink"/>
                  <w:rFonts w:cs="Calibri"/>
                  <w:szCs w:val="22"/>
                  <w:lang w:eastAsia="en-AU"/>
                </w:rPr>
                <w:t xml:space="preserve">Commissioner’s Policy Statement: </w:t>
              </w:r>
              <w:r w:rsidR="00250070" w:rsidRPr="00780FF0">
                <w:rPr>
                  <w:rStyle w:val="Hyperlink"/>
                  <w:rFonts w:cs="Calibri"/>
                  <w:szCs w:val="22"/>
                  <w:lang w:eastAsia="en-AU"/>
                </w:rPr>
                <w:t>Compliance and enforcement</w:t>
              </w:r>
            </w:hyperlink>
            <w:r w:rsidRPr="008C1E72">
              <w:rPr>
                <w:rFonts w:cs="Calibri"/>
                <w:color w:val="1F497D" w:themeColor="text2"/>
                <w:szCs w:val="22"/>
                <w:lang w:eastAsia="en-AU"/>
              </w:rPr>
              <w:t xml:space="preserve">, the ACNC uses a risk-based approach to allocate its compliance resources when addressing concerns about charities. The ACNC targets its compliance resources at the most serious risks – those most likely to undermine trust and confidence in the sector, and where intervention will have the greatest impact. </w:t>
            </w:r>
          </w:p>
          <w:p w14:paraId="0C5FFE7E" w14:textId="77777777" w:rsidR="00FA49A2" w:rsidRPr="008C1E72" w:rsidRDefault="00FA49A2" w:rsidP="00FA49A2">
            <w:pPr>
              <w:spacing w:before="120"/>
              <w:rPr>
                <w:rFonts w:cs="Calibri"/>
                <w:color w:val="1F497D" w:themeColor="text2"/>
                <w:szCs w:val="22"/>
                <w:lang w:eastAsia="en-AU"/>
              </w:rPr>
            </w:pPr>
            <w:r w:rsidRPr="008C1E72">
              <w:rPr>
                <w:rFonts w:cs="Calibri"/>
                <w:color w:val="1F497D" w:themeColor="text2"/>
                <w:szCs w:val="22"/>
                <w:lang w:eastAsia="en-AU"/>
              </w:rPr>
              <w:t>We use our powers in a way that reflects both the risks and the evidence before us. In exercising our powers and functions, we adhere to the principles of regulatory necessity, reflecting risk and proportionate regulation.</w:t>
            </w:r>
          </w:p>
          <w:p w14:paraId="59B2F16D" w14:textId="7A1E268E" w:rsidR="00FA49A2" w:rsidRPr="008C1E72" w:rsidRDefault="005D1C14" w:rsidP="00FA49A2">
            <w:pPr>
              <w:spacing w:before="120"/>
              <w:rPr>
                <w:rFonts w:cs="Calibri"/>
                <w:color w:val="1F497D" w:themeColor="text2"/>
                <w:szCs w:val="22"/>
                <w:lang w:eastAsia="en-AU"/>
              </w:rPr>
            </w:pPr>
            <w:r w:rsidRPr="008C1E72">
              <w:rPr>
                <w:rFonts w:cs="Calibri"/>
                <w:color w:val="1F497D" w:themeColor="text2"/>
                <w:szCs w:val="22"/>
                <w:lang w:eastAsia="en-AU"/>
              </w:rPr>
              <w:t xml:space="preserve">In 2017-18, our compliance area improved its triage and risk assessment processes to ensure that only the most serious cases progress to investigation. </w:t>
            </w:r>
            <w:r w:rsidR="001E3415" w:rsidRPr="008C1E72">
              <w:rPr>
                <w:rFonts w:cs="Calibri"/>
                <w:color w:val="1F497D" w:themeColor="text2"/>
                <w:szCs w:val="22"/>
                <w:lang w:eastAsia="en-AU"/>
              </w:rPr>
              <w:t>The</w:t>
            </w:r>
            <w:r w:rsidR="00FA49A2" w:rsidRPr="008C1E72">
              <w:rPr>
                <w:rFonts w:cs="Calibri"/>
                <w:color w:val="1F497D" w:themeColor="text2"/>
                <w:szCs w:val="22"/>
                <w:lang w:eastAsia="en-AU"/>
              </w:rPr>
              <w:t xml:space="preserve"> ACNC focused its investigations resources towards charities at greater risk of misuse in the following areas, which were outlined in the</w:t>
            </w:r>
            <w:r w:rsidR="00FA49A2" w:rsidRPr="008C1E72">
              <w:rPr>
                <w:rFonts w:cs="Calibri"/>
                <w:i/>
                <w:color w:val="1F497D" w:themeColor="text2"/>
                <w:szCs w:val="22"/>
                <w:lang w:val="en-GB"/>
              </w:rPr>
              <w:t xml:space="preserve"> Charity Compliance Report 2017</w:t>
            </w:r>
            <w:r w:rsidR="00FA49A2" w:rsidRPr="008C1E72">
              <w:rPr>
                <w:rFonts w:cs="Calibri"/>
                <w:color w:val="1F497D" w:themeColor="text2"/>
                <w:szCs w:val="22"/>
                <w:lang w:eastAsia="en-AU"/>
              </w:rPr>
              <w:t>:</w:t>
            </w:r>
          </w:p>
          <w:p w14:paraId="40E4D1A4" w14:textId="77777777" w:rsidR="00FA49A2" w:rsidRPr="008C1E72" w:rsidRDefault="00FA49A2" w:rsidP="00114AC9">
            <w:pPr>
              <w:pStyle w:val="ListParagraph"/>
              <w:numPr>
                <w:ilvl w:val="0"/>
                <w:numId w:val="21"/>
              </w:numPr>
              <w:spacing w:before="120"/>
              <w:contextualSpacing w:val="0"/>
              <w:rPr>
                <w:rFonts w:eastAsiaTheme="minorHAnsi" w:cs="Calibri"/>
                <w:color w:val="1F497D" w:themeColor="text2"/>
                <w:lang w:eastAsia="en-AU"/>
              </w:rPr>
            </w:pPr>
            <w:r w:rsidRPr="008C1E72">
              <w:rPr>
                <w:rFonts w:eastAsiaTheme="minorHAnsi" w:cs="Calibri"/>
                <w:color w:val="1F497D" w:themeColor="text2"/>
                <w:lang w:eastAsia="en-AU"/>
              </w:rPr>
              <w:t xml:space="preserve">Fraud and financial mismanagement – including money laundering, tax avoidance, private benefit. </w:t>
            </w:r>
          </w:p>
          <w:p w14:paraId="254B61C3" w14:textId="77777777" w:rsidR="00FA49A2" w:rsidRPr="008C1E72" w:rsidRDefault="00FA49A2" w:rsidP="00114AC9">
            <w:pPr>
              <w:pStyle w:val="ListParagraph"/>
              <w:numPr>
                <w:ilvl w:val="0"/>
                <w:numId w:val="21"/>
              </w:numPr>
              <w:spacing w:before="120"/>
              <w:contextualSpacing w:val="0"/>
              <w:rPr>
                <w:rFonts w:eastAsiaTheme="minorHAnsi" w:cs="Calibri"/>
                <w:color w:val="1F497D" w:themeColor="text2"/>
                <w:lang w:eastAsia="en-AU"/>
              </w:rPr>
            </w:pPr>
            <w:r w:rsidRPr="008C1E72">
              <w:rPr>
                <w:rFonts w:eastAsiaTheme="minorHAnsi" w:cs="Calibri"/>
                <w:color w:val="1F497D" w:themeColor="text2"/>
                <w:lang w:eastAsia="en-AU"/>
              </w:rPr>
              <w:t xml:space="preserve">Terrorism – misuse of a charity for terrorist purposes or to foster extremism. This includes charities that support terrorism (financial or otherwise), and/or connections to a listed terrorist organisation, or a person or entity of concern. </w:t>
            </w:r>
          </w:p>
          <w:p w14:paraId="57F23FDE" w14:textId="77777777" w:rsidR="00FA49A2" w:rsidRPr="008C1E72" w:rsidRDefault="00FA49A2" w:rsidP="00114AC9">
            <w:pPr>
              <w:pStyle w:val="ListParagraph"/>
              <w:numPr>
                <w:ilvl w:val="0"/>
                <w:numId w:val="21"/>
              </w:numPr>
              <w:spacing w:before="120"/>
              <w:contextualSpacing w:val="0"/>
              <w:rPr>
                <w:rFonts w:eastAsiaTheme="minorHAnsi" w:cs="Calibri"/>
                <w:color w:val="1F497D" w:themeColor="text2"/>
                <w:lang w:eastAsia="en-AU"/>
              </w:rPr>
            </w:pPr>
            <w:r w:rsidRPr="008C1E72">
              <w:rPr>
                <w:rFonts w:eastAsiaTheme="minorHAnsi" w:cs="Calibri"/>
                <w:color w:val="1F497D" w:themeColor="text2"/>
                <w:lang w:eastAsia="en-AU"/>
              </w:rPr>
              <w:t xml:space="preserve">Harm to beneficiaries – particularly children and vulnerable adults. </w:t>
            </w:r>
          </w:p>
          <w:p w14:paraId="0389132D" w14:textId="77777777" w:rsidR="00FA49A2" w:rsidRPr="008C1E72" w:rsidRDefault="00FA49A2" w:rsidP="00114AC9">
            <w:pPr>
              <w:pStyle w:val="ListParagraph"/>
              <w:numPr>
                <w:ilvl w:val="0"/>
                <w:numId w:val="21"/>
              </w:numPr>
              <w:spacing w:before="120"/>
              <w:contextualSpacing w:val="0"/>
              <w:rPr>
                <w:rFonts w:eastAsiaTheme="minorHAnsi" w:cs="Calibri"/>
                <w:color w:val="1F497D" w:themeColor="text2"/>
                <w:lang w:eastAsia="en-AU"/>
              </w:rPr>
            </w:pPr>
            <w:r w:rsidRPr="008C1E72">
              <w:rPr>
                <w:rFonts w:eastAsiaTheme="minorHAnsi" w:cs="Calibri"/>
                <w:color w:val="1F497D" w:themeColor="text2"/>
                <w:lang w:eastAsia="en-AU"/>
              </w:rPr>
              <w:t>Political or unlawful activities – where the charity may be at risk of having a disqualifying purpose</w:t>
            </w:r>
          </w:p>
          <w:p w14:paraId="3CB14B90" w14:textId="71BA09F2" w:rsidR="00BD1D8D" w:rsidRPr="008C1E72" w:rsidRDefault="00BD1D8D" w:rsidP="00FA49A2">
            <w:pPr>
              <w:spacing w:before="120"/>
              <w:rPr>
                <w:rFonts w:cs="Calibri"/>
                <w:color w:val="1F497D" w:themeColor="text2"/>
                <w:szCs w:val="22"/>
                <w:lang w:eastAsia="en-AU"/>
              </w:rPr>
            </w:pPr>
            <w:r w:rsidRPr="008C1E72">
              <w:rPr>
                <w:rFonts w:cs="Calibri"/>
                <w:color w:val="1F497D" w:themeColor="text2"/>
                <w:szCs w:val="22"/>
                <w:lang w:eastAsia="en-AU"/>
              </w:rPr>
              <w:t>In total, the ACNC received 1,869 concerns about charities in 2017–18, which represents a 47</w:t>
            </w:r>
            <w:r w:rsidR="00167A4A" w:rsidRPr="008C1E72">
              <w:rPr>
                <w:rFonts w:cs="Calibri"/>
                <w:color w:val="1F497D" w:themeColor="text2"/>
                <w:szCs w:val="22"/>
                <w:lang w:eastAsia="en-AU"/>
              </w:rPr>
              <w:t xml:space="preserve"> </w:t>
            </w:r>
            <w:r w:rsidR="00B9400D" w:rsidRPr="008C1E72">
              <w:rPr>
                <w:rFonts w:cs="Calibri"/>
                <w:color w:val="1F497D" w:themeColor="text2"/>
                <w:szCs w:val="22"/>
                <w:lang w:eastAsia="en-AU"/>
              </w:rPr>
              <w:t>per cent</w:t>
            </w:r>
            <w:r w:rsidRPr="008C1E72">
              <w:rPr>
                <w:rFonts w:cs="Calibri"/>
                <w:color w:val="1F497D" w:themeColor="text2"/>
                <w:szCs w:val="22"/>
                <w:lang w:eastAsia="en-AU"/>
              </w:rPr>
              <w:t xml:space="preserve"> increase over the previous year. </w:t>
            </w:r>
          </w:p>
          <w:p w14:paraId="78AC9F36" w14:textId="42834245" w:rsidR="00BD1D8D" w:rsidRPr="008C1E72" w:rsidRDefault="00BD1D8D" w:rsidP="00FA49A2">
            <w:pPr>
              <w:spacing w:before="120"/>
              <w:rPr>
                <w:rFonts w:cs="Calibri"/>
                <w:color w:val="1F497D" w:themeColor="text2"/>
                <w:szCs w:val="22"/>
                <w:lang w:eastAsia="en-AU"/>
              </w:rPr>
            </w:pPr>
            <w:r w:rsidRPr="008C1E72">
              <w:rPr>
                <w:rFonts w:cs="Calibri"/>
                <w:color w:val="1F497D" w:themeColor="text2"/>
                <w:szCs w:val="22"/>
                <w:lang w:eastAsia="en-AU"/>
              </w:rPr>
              <w:lastRenderedPageBreak/>
              <w:t>The majority (62</w:t>
            </w:r>
            <w:r w:rsidR="00167A4A" w:rsidRPr="008C1E72">
              <w:rPr>
                <w:rFonts w:cs="Calibri"/>
                <w:color w:val="1F497D" w:themeColor="text2"/>
                <w:szCs w:val="22"/>
                <w:lang w:eastAsia="en-AU"/>
              </w:rPr>
              <w:t xml:space="preserve"> </w:t>
            </w:r>
            <w:r w:rsidR="00B9400D" w:rsidRPr="008C1E72">
              <w:rPr>
                <w:rFonts w:cs="Calibri"/>
                <w:color w:val="1F497D" w:themeColor="text2"/>
                <w:szCs w:val="22"/>
                <w:lang w:eastAsia="en-AU"/>
              </w:rPr>
              <w:t>per cent</w:t>
            </w:r>
            <w:r w:rsidRPr="008C1E72">
              <w:rPr>
                <w:rFonts w:cs="Calibri"/>
                <w:color w:val="1F497D" w:themeColor="text2"/>
                <w:szCs w:val="22"/>
                <w:lang w:eastAsia="en-AU"/>
              </w:rPr>
              <w:t>) of concerns received by the ACNC were either addressed by our Advice Services team through the provision of education and guidance</w:t>
            </w:r>
            <w:r w:rsidR="00736D5F">
              <w:rPr>
                <w:rFonts w:cs="Calibri"/>
                <w:color w:val="1F497D" w:themeColor="text2"/>
                <w:szCs w:val="22"/>
                <w:lang w:eastAsia="en-AU"/>
              </w:rPr>
              <w:t>,</w:t>
            </w:r>
            <w:r w:rsidRPr="008C1E72">
              <w:rPr>
                <w:rFonts w:cs="Calibri"/>
                <w:color w:val="1F497D" w:themeColor="text2"/>
                <w:szCs w:val="22"/>
                <w:lang w:eastAsia="en-AU"/>
              </w:rPr>
              <w:t xml:space="preserve"> or were out of our jurisdiction. Where a concern is outside the ACNC’s jurisdiction – for example, internal disputes or employment issues – we refer the complainant to the relevant regulator or an alternate source of advice. The remaining 38</w:t>
            </w:r>
            <w:r w:rsidR="00167A4A" w:rsidRPr="008C1E72">
              <w:rPr>
                <w:rFonts w:cs="Calibri"/>
                <w:color w:val="1F497D" w:themeColor="text2"/>
                <w:szCs w:val="22"/>
                <w:lang w:eastAsia="en-AU"/>
              </w:rPr>
              <w:t xml:space="preserve"> </w:t>
            </w:r>
            <w:r w:rsidR="00B9400D" w:rsidRPr="008C1E72">
              <w:rPr>
                <w:rFonts w:cs="Calibri"/>
                <w:color w:val="1F497D" w:themeColor="text2"/>
                <w:szCs w:val="22"/>
                <w:lang w:eastAsia="en-AU"/>
              </w:rPr>
              <w:t>per cent</w:t>
            </w:r>
            <w:r w:rsidRPr="008C1E72">
              <w:rPr>
                <w:rFonts w:cs="Calibri"/>
                <w:color w:val="1F497D" w:themeColor="text2"/>
                <w:szCs w:val="22"/>
                <w:lang w:eastAsia="en-AU"/>
              </w:rPr>
              <w:t xml:space="preserve"> were progressed to the </w:t>
            </w:r>
            <w:r w:rsidR="00736D5F">
              <w:rPr>
                <w:rFonts w:cs="Calibri"/>
                <w:color w:val="1F497D" w:themeColor="text2"/>
                <w:szCs w:val="22"/>
                <w:lang w:eastAsia="en-AU"/>
              </w:rPr>
              <w:t>C</w:t>
            </w:r>
            <w:r w:rsidR="00CF00E6" w:rsidRPr="008C1E72">
              <w:rPr>
                <w:rFonts w:cs="Calibri"/>
                <w:color w:val="1F497D" w:themeColor="text2"/>
                <w:szCs w:val="22"/>
                <w:lang w:eastAsia="en-AU"/>
              </w:rPr>
              <w:t>ompliance team</w:t>
            </w:r>
            <w:r w:rsidRPr="008C1E72">
              <w:rPr>
                <w:rFonts w:cs="Calibri"/>
                <w:color w:val="1F497D" w:themeColor="text2"/>
                <w:szCs w:val="22"/>
                <w:lang w:eastAsia="en-AU"/>
              </w:rPr>
              <w:t xml:space="preserve"> for assessment. </w:t>
            </w:r>
          </w:p>
          <w:p w14:paraId="1164DAE6" w14:textId="1ADDCAD9" w:rsidR="00BD1D8D" w:rsidRPr="008C1E72" w:rsidRDefault="00BD1D8D" w:rsidP="00FA49A2">
            <w:pPr>
              <w:spacing w:before="120"/>
              <w:rPr>
                <w:rFonts w:cs="Calibri"/>
                <w:color w:val="1F497D" w:themeColor="text2"/>
                <w:szCs w:val="22"/>
                <w:lang w:eastAsia="en-AU"/>
              </w:rPr>
            </w:pPr>
            <w:r w:rsidRPr="008C1E72">
              <w:rPr>
                <w:rFonts w:cs="Calibri"/>
                <w:color w:val="1F497D" w:themeColor="text2"/>
                <w:szCs w:val="22"/>
                <w:lang w:eastAsia="en-AU"/>
              </w:rPr>
              <w:t>Prior to commencing an investigation, the ACNC conducts a detailed risk assessment, which includes the review of information we current</w:t>
            </w:r>
            <w:r w:rsidR="003E0233" w:rsidRPr="008C1E72">
              <w:rPr>
                <w:rFonts w:cs="Calibri"/>
                <w:color w:val="1F497D" w:themeColor="text2"/>
                <w:szCs w:val="22"/>
                <w:lang w:eastAsia="en-AU"/>
              </w:rPr>
              <w:t>ly</w:t>
            </w:r>
            <w:r w:rsidRPr="008C1E72">
              <w:rPr>
                <w:rFonts w:cs="Calibri"/>
                <w:color w:val="1F497D" w:themeColor="text2"/>
                <w:szCs w:val="22"/>
                <w:lang w:eastAsia="en-AU"/>
              </w:rPr>
              <w:t xml:space="preserve"> have, and draws on information from various other sources including other government agencies, open source material, and analysis of our own data holdings.  The risk assessment helps us understand the significance, likelihood and consequence of the risk, which in turn assists in deciding the most appropriate response.  In 2017-18 the </w:t>
            </w:r>
            <w:r w:rsidR="00736D5F">
              <w:rPr>
                <w:rFonts w:cs="Calibri"/>
                <w:color w:val="1F497D" w:themeColor="text2"/>
                <w:szCs w:val="22"/>
                <w:lang w:eastAsia="en-AU"/>
              </w:rPr>
              <w:t>C</w:t>
            </w:r>
            <w:r w:rsidR="00736D5F" w:rsidRPr="008C1E72">
              <w:rPr>
                <w:rFonts w:cs="Calibri"/>
                <w:color w:val="1F497D" w:themeColor="text2"/>
                <w:szCs w:val="22"/>
                <w:lang w:eastAsia="en-AU"/>
              </w:rPr>
              <w:t xml:space="preserve">ompliance </w:t>
            </w:r>
            <w:r w:rsidRPr="008C1E72">
              <w:rPr>
                <w:rFonts w:cs="Calibri"/>
                <w:color w:val="1F497D" w:themeColor="text2"/>
                <w:szCs w:val="22"/>
                <w:lang w:eastAsia="en-AU"/>
              </w:rPr>
              <w:t>team completed 192 risk assessments; 46</w:t>
            </w:r>
            <w:r w:rsidR="00167A4A" w:rsidRPr="008C1E72">
              <w:rPr>
                <w:rFonts w:cs="Calibri"/>
                <w:color w:val="1F497D" w:themeColor="text2"/>
                <w:szCs w:val="22"/>
                <w:lang w:eastAsia="en-AU"/>
              </w:rPr>
              <w:t xml:space="preserve"> </w:t>
            </w:r>
            <w:r w:rsidR="00B9400D" w:rsidRPr="008C1E72">
              <w:rPr>
                <w:rFonts w:cs="Calibri"/>
                <w:color w:val="1F497D" w:themeColor="text2"/>
                <w:szCs w:val="22"/>
                <w:lang w:eastAsia="en-AU"/>
              </w:rPr>
              <w:t>per cent</w:t>
            </w:r>
            <w:r w:rsidRPr="008C1E72">
              <w:rPr>
                <w:rFonts w:cs="Calibri"/>
                <w:color w:val="1F497D" w:themeColor="text2"/>
                <w:szCs w:val="22"/>
                <w:lang w:eastAsia="en-AU"/>
              </w:rPr>
              <w:t xml:space="preserve"> of cases proceeded to investigation while 54</w:t>
            </w:r>
            <w:r w:rsidR="00167A4A" w:rsidRPr="008C1E72">
              <w:rPr>
                <w:rFonts w:cs="Calibri"/>
                <w:color w:val="1F497D" w:themeColor="text2"/>
                <w:szCs w:val="22"/>
                <w:lang w:eastAsia="en-AU"/>
              </w:rPr>
              <w:t xml:space="preserve"> </w:t>
            </w:r>
            <w:r w:rsidR="00B9400D" w:rsidRPr="008C1E72">
              <w:rPr>
                <w:rFonts w:cs="Calibri"/>
                <w:color w:val="1F497D" w:themeColor="text2"/>
                <w:szCs w:val="22"/>
                <w:lang w:eastAsia="en-AU"/>
              </w:rPr>
              <w:t>per cent</w:t>
            </w:r>
            <w:r w:rsidRPr="008C1E72">
              <w:rPr>
                <w:rFonts w:cs="Calibri"/>
                <w:color w:val="1F497D" w:themeColor="text2"/>
                <w:szCs w:val="22"/>
                <w:lang w:eastAsia="en-AU"/>
              </w:rPr>
              <w:t xml:space="preserve"> resulted in the provision of regulatory guidance or no further action required.  </w:t>
            </w:r>
          </w:p>
          <w:p w14:paraId="652E5BD4" w14:textId="3C7D817C" w:rsidR="00BD1D8D" w:rsidRPr="008C1E72" w:rsidRDefault="00BD1D8D" w:rsidP="00FA49A2">
            <w:pPr>
              <w:spacing w:before="120"/>
              <w:rPr>
                <w:rFonts w:cs="Calibri"/>
                <w:color w:val="1F497D" w:themeColor="text2"/>
                <w:szCs w:val="22"/>
                <w:lang w:eastAsia="en-AU"/>
              </w:rPr>
            </w:pPr>
            <w:r w:rsidRPr="008C1E72">
              <w:rPr>
                <w:rFonts w:cs="Calibri"/>
                <w:color w:val="1F497D" w:themeColor="text2"/>
                <w:szCs w:val="22"/>
                <w:lang w:eastAsia="en-AU"/>
              </w:rPr>
              <w:t xml:space="preserve">In 2017-18 the ACNC managed 331 concerns associated with 302 charities. Charities subject to compliance cases controlled $5.7 billion of charitable assets.  Where a charity’s non-compliance is significant but the ACNC determines that the charity’s responsible persons are willing and able to correct matters, the ACNC’s response may involve a compliance agreement or enforceable undertaking. These are effectively action plans for the charity, and the ACNC monitors the charity’s progress to ensure all measures have been implemented. In 2017-18 the ACNC entered into </w:t>
            </w:r>
            <w:r w:rsidR="00167A4A" w:rsidRPr="008C1E72">
              <w:rPr>
                <w:rFonts w:cs="Calibri"/>
                <w:color w:val="1F497D" w:themeColor="text2"/>
                <w:szCs w:val="22"/>
                <w:lang w:eastAsia="en-AU"/>
              </w:rPr>
              <w:t xml:space="preserve">16 </w:t>
            </w:r>
            <w:r w:rsidRPr="008C1E72">
              <w:rPr>
                <w:rFonts w:cs="Calibri"/>
                <w:color w:val="1F497D" w:themeColor="text2"/>
                <w:szCs w:val="22"/>
                <w:lang w:eastAsia="en-AU"/>
              </w:rPr>
              <w:t>compliance agreements,</w:t>
            </w:r>
            <w:r w:rsidR="00167A4A" w:rsidRPr="008C1E72">
              <w:rPr>
                <w:rFonts w:cs="Calibri"/>
                <w:color w:val="1F497D" w:themeColor="text2"/>
                <w:szCs w:val="22"/>
                <w:lang w:eastAsia="en-AU"/>
              </w:rPr>
              <w:t xml:space="preserve"> 3</w:t>
            </w:r>
            <w:r w:rsidRPr="008C1E72">
              <w:rPr>
                <w:rFonts w:cs="Calibri"/>
                <w:color w:val="1F497D" w:themeColor="text2"/>
                <w:szCs w:val="22"/>
                <w:lang w:eastAsia="en-AU"/>
              </w:rPr>
              <w:t xml:space="preserve"> enforceable undertakings and </w:t>
            </w:r>
            <w:r w:rsidR="00167A4A" w:rsidRPr="008C1E72">
              <w:rPr>
                <w:rFonts w:cs="Calibri"/>
                <w:color w:val="1F497D" w:themeColor="text2"/>
                <w:szCs w:val="22"/>
                <w:lang w:eastAsia="en-AU"/>
              </w:rPr>
              <w:t xml:space="preserve">2 </w:t>
            </w:r>
            <w:r w:rsidRPr="008C1E72">
              <w:rPr>
                <w:rFonts w:cs="Calibri"/>
                <w:color w:val="1F497D" w:themeColor="text2"/>
                <w:szCs w:val="22"/>
                <w:lang w:eastAsia="en-AU"/>
              </w:rPr>
              <w:t xml:space="preserve">directions.  </w:t>
            </w:r>
          </w:p>
          <w:p w14:paraId="3E85CFA6" w14:textId="77777777" w:rsidR="002E196A" w:rsidRPr="008C1E72" w:rsidRDefault="00FA49A2" w:rsidP="00FA49A2">
            <w:pPr>
              <w:spacing w:before="120"/>
              <w:rPr>
                <w:rFonts w:cs="Calibri"/>
                <w:color w:val="1F497D" w:themeColor="text2"/>
                <w:szCs w:val="22"/>
                <w:highlight w:val="yellow"/>
                <w:lang w:val="en-GB"/>
              </w:rPr>
            </w:pPr>
            <w:r w:rsidRPr="008C1E72">
              <w:rPr>
                <w:rFonts w:cs="Calibri"/>
                <w:i/>
                <w:color w:val="1F497D" w:themeColor="text2"/>
                <w:szCs w:val="22"/>
                <w:lang w:val="en-GB"/>
              </w:rPr>
              <w:t>For further information, refer to 3.2, 3.4 and 4.1.</w:t>
            </w:r>
          </w:p>
        </w:tc>
      </w:tr>
      <w:tr w:rsidR="002E196A" w:rsidRPr="008C1E72" w14:paraId="47120EEE" w14:textId="77777777" w:rsidTr="00EC0921">
        <w:trPr>
          <w:trHeight w:val="834"/>
        </w:trPr>
        <w:tc>
          <w:tcPr>
            <w:tcW w:w="93" w:type="pct"/>
            <w:gridSpan w:val="2"/>
            <w:vMerge/>
            <w:shd w:val="clear" w:color="auto" w:fill="D9D9D9" w:themeFill="background1" w:themeFillShade="D9"/>
            <w:vAlign w:val="center"/>
          </w:tcPr>
          <w:p w14:paraId="61964983" w14:textId="77777777" w:rsidR="002E196A" w:rsidRPr="008C1E72" w:rsidRDefault="002E196A" w:rsidP="002E196A">
            <w:pPr>
              <w:suppressAutoHyphens/>
              <w:jc w:val="center"/>
              <w:rPr>
                <w:rFonts w:cs="Calibri"/>
                <w:b/>
                <w:szCs w:val="22"/>
                <w:lang w:val="en-GB"/>
              </w:rPr>
            </w:pPr>
          </w:p>
        </w:tc>
        <w:tc>
          <w:tcPr>
            <w:tcW w:w="631" w:type="pct"/>
            <w:gridSpan w:val="2"/>
            <w:vMerge/>
            <w:vAlign w:val="center"/>
          </w:tcPr>
          <w:p w14:paraId="5D8F0453" w14:textId="77777777" w:rsidR="002E196A" w:rsidRPr="008C1E72" w:rsidRDefault="002E196A" w:rsidP="002E196A">
            <w:pPr>
              <w:spacing w:after="0"/>
              <w:rPr>
                <w:rFonts w:cs="Calibri"/>
                <w:szCs w:val="22"/>
                <w:lang w:val="en-GB"/>
              </w:rPr>
            </w:pPr>
          </w:p>
        </w:tc>
        <w:tc>
          <w:tcPr>
            <w:tcW w:w="157" w:type="pct"/>
            <w:gridSpan w:val="2"/>
            <w:tcBorders>
              <w:top w:val="single" w:sz="4" w:space="0" w:color="auto"/>
            </w:tcBorders>
            <w:shd w:val="clear" w:color="auto" w:fill="D9D9D9" w:themeFill="background1" w:themeFillShade="D9"/>
            <w:vAlign w:val="center"/>
          </w:tcPr>
          <w:p w14:paraId="52A5C6E8" w14:textId="77777777" w:rsidR="002E196A" w:rsidRPr="008C1E72" w:rsidRDefault="002E196A" w:rsidP="002E196A">
            <w:pPr>
              <w:suppressAutoHyphens/>
              <w:jc w:val="center"/>
              <w:rPr>
                <w:rFonts w:cs="Calibri"/>
                <w:b/>
                <w:szCs w:val="22"/>
                <w:lang w:val="en-GB"/>
              </w:rPr>
            </w:pPr>
            <w:r w:rsidRPr="008C1E72">
              <w:rPr>
                <w:rFonts w:cs="Calibri"/>
                <w:b/>
                <w:szCs w:val="22"/>
                <w:lang w:val="en-GB"/>
              </w:rPr>
              <w:t>3.2</w:t>
            </w:r>
          </w:p>
        </w:tc>
        <w:tc>
          <w:tcPr>
            <w:tcW w:w="709" w:type="pct"/>
            <w:tcBorders>
              <w:top w:val="single" w:sz="4" w:space="0" w:color="auto"/>
            </w:tcBorders>
            <w:vAlign w:val="center"/>
          </w:tcPr>
          <w:p w14:paraId="3CCC9B8E" w14:textId="77777777" w:rsidR="002E196A" w:rsidRPr="008C1E72" w:rsidRDefault="002E196A" w:rsidP="002E196A">
            <w:pPr>
              <w:spacing w:after="0"/>
              <w:rPr>
                <w:rFonts w:cs="Calibri"/>
                <w:b/>
                <w:szCs w:val="22"/>
                <w:lang w:val="en-GB"/>
              </w:rPr>
            </w:pPr>
            <w:r w:rsidRPr="008C1E72">
              <w:rPr>
                <w:rFonts w:cs="Calibri"/>
                <w:b/>
                <w:szCs w:val="22"/>
                <w:lang w:val="en-GB"/>
              </w:rPr>
              <w:t xml:space="preserve">Risk-based </w:t>
            </w:r>
            <w:r w:rsidR="008113BB" w:rsidRPr="008C1E72">
              <w:rPr>
                <w:rFonts w:cs="Calibri"/>
                <w:b/>
                <w:szCs w:val="22"/>
                <w:lang w:val="en-GB"/>
              </w:rPr>
              <w:t>Compliance and enforcement</w:t>
            </w:r>
            <w:r w:rsidRPr="008C1E72">
              <w:rPr>
                <w:rFonts w:cs="Calibri"/>
                <w:b/>
                <w:szCs w:val="22"/>
                <w:lang w:val="en-GB"/>
              </w:rPr>
              <w:t xml:space="preserve"> policy is published</w:t>
            </w:r>
          </w:p>
        </w:tc>
        <w:tc>
          <w:tcPr>
            <w:tcW w:w="915" w:type="pct"/>
            <w:gridSpan w:val="2"/>
            <w:tcBorders>
              <w:top w:val="single" w:sz="4" w:space="0" w:color="auto"/>
            </w:tcBorders>
            <w:vAlign w:val="center"/>
          </w:tcPr>
          <w:p w14:paraId="1078784C" w14:textId="77777777" w:rsidR="002E196A" w:rsidRPr="008C1E72" w:rsidRDefault="00167A4A" w:rsidP="00403732">
            <w:pPr>
              <w:spacing w:after="0"/>
              <w:rPr>
                <w:rFonts w:cs="Calibri"/>
                <w:color w:val="1F497D" w:themeColor="text2"/>
                <w:szCs w:val="22"/>
                <w:lang w:val="en-GB"/>
              </w:rPr>
            </w:pPr>
            <w:r w:rsidRPr="008C1E72">
              <w:rPr>
                <w:rFonts w:cs="Calibri"/>
                <w:color w:val="1F497D" w:themeColor="text2"/>
                <w:szCs w:val="22"/>
                <w:lang w:val="en-GB"/>
              </w:rPr>
              <w:t xml:space="preserve"> Our Commissioner’s Policy Statement – Compliance and Enforcement and associated procedures were updated in October, and published on our website in November 2017</w:t>
            </w:r>
          </w:p>
        </w:tc>
        <w:tc>
          <w:tcPr>
            <w:tcW w:w="235" w:type="pct"/>
            <w:tcBorders>
              <w:top w:val="single" w:sz="4" w:space="0" w:color="auto"/>
            </w:tcBorders>
          </w:tcPr>
          <w:p w14:paraId="78ABA9B0" w14:textId="77777777" w:rsidR="002E196A" w:rsidRPr="008C1E72" w:rsidRDefault="002E196A" w:rsidP="002E196A">
            <w:pPr>
              <w:spacing w:after="0"/>
              <w:jc w:val="center"/>
              <w:rPr>
                <w:rFonts w:cs="Calibri"/>
                <w:noProof/>
                <w:color w:val="1F497D" w:themeColor="text2"/>
                <w:szCs w:val="22"/>
                <w:highlight w:val="yellow"/>
                <w:lang w:eastAsia="en-AU"/>
              </w:rPr>
            </w:pPr>
          </w:p>
          <w:p w14:paraId="6C99B9F9" w14:textId="77777777" w:rsidR="00F87508" w:rsidRPr="008C1E72" w:rsidRDefault="00F87508" w:rsidP="002E196A">
            <w:pPr>
              <w:spacing w:after="0"/>
              <w:jc w:val="center"/>
              <w:rPr>
                <w:rFonts w:cs="Calibri"/>
                <w:noProof/>
                <w:color w:val="1F497D" w:themeColor="text2"/>
                <w:szCs w:val="22"/>
                <w:lang w:eastAsia="en-AU"/>
              </w:rPr>
            </w:pPr>
          </w:p>
          <w:p w14:paraId="60807B2B"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6E7140AD" wp14:editId="09CB21F7">
                  <wp:extent cx="201295" cy="21336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p w14:paraId="3C02083F" w14:textId="77777777" w:rsidR="002E196A" w:rsidRPr="008C1E72" w:rsidRDefault="002E196A" w:rsidP="002E196A">
            <w:pPr>
              <w:spacing w:after="0"/>
              <w:jc w:val="center"/>
              <w:rPr>
                <w:rFonts w:cs="Calibri"/>
                <w:noProof/>
                <w:color w:val="1F497D" w:themeColor="text2"/>
                <w:szCs w:val="22"/>
                <w:highlight w:val="yellow"/>
                <w:lang w:eastAsia="en-AU"/>
              </w:rPr>
            </w:pPr>
          </w:p>
          <w:p w14:paraId="35033ABE" w14:textId="77777777" w:rsidR="002E196A" w:rsidRPr="008C1E72" w:rsidRDefault="002E196A" w:rsidP="002E196A">
            <w:pPr>
              <w:spacing w:after="0"/>
              <w:jc w:val="center"/>
              <w:rPr>
                <w:rFonts w:cs="Calibri"/>
                <w:noProof/>
                <w:color w:val="1F497D" w:themeColor="text2"/>
                <w:szCs w:val="22"/>
                <w:highlight w:val="yellow"/>
                <w:lang w:eastAsia="en-AU"/>
              </w:rPr>
            </w:pPr>
          </w:p>
        </w:tc>
        <w:tc>
          <w:tcPr>
            <w:tcW w:w="2260" w:type="pct"/>
            <w:tcBorders>
              <w:top w:val="single" w:sz="4" w:space="0" w:color="auto"/>
            </w:tcBorders>
            <w:vAlign w:val="center"/>
          </w:tcPr>
          <w:p w14:paraId="57F16D67" w14:textId="77777777" w:rsidR="008F5FDA" w:rsidRPr="008C1E72" w:rsidRDefault="008F5FDA" w:rsidP="008F5FDA">
            <w:pPr>
              <w:spacing w:before="120"/>
              <w:rPr>
                <w:rFonts w:cs="Calibri"/>
                <w:color w:val="1F497D" w:themeColor="text2"/>
                <w:szCs w:val="22"/>
                <w:lang w:val="en-GB"/>
              </w:rPr>
            </w:pPr>
            <w:r w:rsidRPr="008C1E72">
              <w:rPr>
                <w:rFonts w:cs="Calibri"/>
                <w:color w:val="1F497D" w:themeColor="text2"/>
                <w:szCs w:val="22"/>
                <w:lang w:val="en-GB"/>
              </w:rPr>
              <w:t>In the 2016-17 RPF</w:t>
            </w:r>
            <w:r w:rsidR="004027CE" w:rsidRPr="008C1E72">
              <w:rPr>
                <w:rFonts w:cs="Calibri"/>
                <w:color w:val="1F497D" w:themeColor="text2"/>
                <w:szCs w:val="22"/>
                <w:lang w:val="en-GB"/>
              </w:rPr>
              <w:t xml:space="preserve"> report</w:t>
            </w:r>
            <w:r w:rsidRPr="008C1E72">
              <w:rPr>
                <w:rFonts w:cs="Calibri"/>
                <w:color w:val="1F497D" w:themeColor="text2"/>
                <w:szCs w:val="22"/>
                <w:lang w:val="en-GB"/>
              </w:rPr>
              <w:t xml:space="preserve">, the ACNC </w:t>
            </w:r>
            <w:r w:rsidR="00920207" w:rsidRPr="008C1E72">
              <w:rPr>
                <w:rFonts w:cs="Calibri"/>
                <w:color w:val="1F497D" w:themeColor="text2"/>
                <w:szCs w:val="22"/>
                <w:lang w:val="en-GB"/>
              </w:rPr>
              <w:t>advised that the</w:t>
            </w:r>
            <w:r w:rsidRPr="008C1E72">
              <w:rPr>
                <w:rFonts w:cs="Calibri"/>
                <w:color w:val="1F497D" w:themeColor="text2"/>
                <w:szCs w:val="22"/>
                <w:lang w:val="en-GB"/>
              </w:rPr>
              <w:t xml:space="preserve"> </w:t>
            </w:r>
            <w:r w:rsidR="008113BB" w:rsidRPr="008C1E72">
              <w:rPr>
                <w:rFonts w:cs="Calibri"/>
                <w:color w:val="1F497D" w:themeColor="text2"/>
                <w:szCs w:val="22"/>
                <w:lang w:val="en-GB"/>
              </w:rPr>
              <w:t>Compliance and enforcement</w:t>
            </w:r>
            <w:r w:rsidRPr="008C1E72">
              <w:rPr>
                <w:rFonts w:cs="Calibri"/>
                <w:color w:val="1F497D" w:themeColor="text2"/>
                <w:szCs w:val="22"/>
                <w:lang w:val="en-GB"/>
              </w:rPr>
              <w:t xml:space="preserve"> </w:t>
            </w:r>
            <w:r w:rsidR="00167A4A" w:rsidRPr="008C1E72">
              <w:rPr>
                <w:rFonts w:cs="Calibri"/>
                <w:color w:val="1F497D" w:themeColor="text2"/>
                <w:szCs w:val="22"/>
                <w:lang w:val="en-GB"/>
              </w:rPr>
              <w:t>p</w:t>
            </w:r>
            <w:r w:rsidRPr="008C1E72">
              <w:rPr>
                <w:rFonts w:cs="Calibri"/>
                <w:color w:val="1F497D" w:themeColor="text2"/>
                <w:szCs w:val="22"/>
                <w:lang w:val="en-GB"/>
              </w:rPr>
              <w:t>olicy</w:t>
            </w:r>
            <w:r w:rsidR="00920207" w:rsidRPr="008C1E72">
              <w:rPr>
                <w:rFonts w:cs="Calibri"/>
                <w:color w:val="1F497D" w:themeColor="text2"/>
                <w:szCs w:val="22"/>
                <w:lang w:val="en-GB"/>
              </w:rPr>
              <w:t xml:space="preserve"> was being reviewed as a result</w:t>
            </w:r>
            <w:r w:rsidRPr="008C1E72">
              <w:rPr>
                <w:rFonts w:cs="Calibri"/>
                <w:color w:val="1F497D" w:themeColor="text2"/>
                <w:szCs w:val="22"/>
                <w:lang w:val="en-GB"/>
              </w:rPr>
              <w:t xml:space="preserve"> of the Deloitte review into the ACNC’s compliance function.</w:t>
            </w:r>
          </w:p>
          <w:p w14:paraId="63FEF536" w14:textId="77777777" w:rsidR="002E196A" w:rsidRPr="008C1E72" w:rsidRDefault="00E76EA9" w:rsidP="008F5FDA">
            <w:pPr>
              <w:spacing w:before="120"/>
              <w:rPr>
                <w:rFonts w:cs="Calibri"/>
                <w:color w:val="1F497D" w:themeColor="text2"/>
                <w:szCs w:val="22"/>
                <w:lang w:val="en-GB"/>
              </w:rPr>
            </w:pPr>
            <w:r w:rsidRPr="008C1E72">
              <w:rPr>
                <w:rFonts w:cs="Calibri"/>
                <w:color w:val="1F497D" w:themeColor="text2"/>
                <w:szCs w:val="22"/>
                <w:lang w:val="en-GB"/>
              </w:rPr>
              <w:t xml:space="preserve">Our </w:t>
            </w:r>
            <w:hyperlink r:id="rId67" w:history="1">
              <w:r w:rsidRPr="00736D5F">
                <w:rPr>
                  <w:rStyle w:val="Hyperlink"/>
                  <w:rFonts w:cs="Calibri"/>
                  <w:szCs w:val="22"/>
                  <w:lang w:val="en-GB"/>
                </w:rPr>
                <w:t>Commissioner’s Pol</w:t>
              </w:r>
              <w:r w:rsidR="00736D5F">
                <w:rPr>
                  <w:rStyle w:val="Hyperlink"/>
                  <w:rFonts w:cs="Calibri"/>
                  <w:szCs w:val="22"/>
                  <w:lang w:val="en-GB"/>
                </w:rPr>
                <w:t>icy Statement – Compliance and e</w:t>
              </w:r>
              <w:r w:rsidRPr="00736D5F">
                <w:rPr>
                  <w:rStyle w:val="Hyperlink"/>
                  <w:rFonts w:cs="Calibri"/>
                  <w:szCs w:val="22"/>
                  <w:lang w:val="en-GB"/>
                </w:rPr>
                <w:t>nforcement</w:t>
              </w:r>
            </w:hyperlink>
            <w:r w:rsidRPr="008C1E72">
              <w:rPr>
                <w:rFonts w:cs="Calibri"/>
                <w:color w:val="1F497D" w:themeColor="text2"/>
                <w:szCs w:val="22"/>
                <w:lang w:val="en-GB"/>
              </w:rPr>
              <w:t xml:space="preserve"> and associated procedures were updated in October, and published on our website in November 2017</w:t>
            </w:r>
            <w:r w:rsidR="004027CE" w:rsidRPr="008C1E72">
              <w:rPr>
                <w:rFonts w:cs="Calibri"/>
                <w:color w:val="1F497D" w:themeColor="text2"/>
                <w:szCs w:val="22"/>
                <w:lang w:val="en-GB"/>
              </w:rPr>
              <w:t xml:space="preserve">. This policy </w:t>
            </w:r>
            <w:r w:rsidR="008F5FDA" w:rsidRPr="008C1E72">
              <w:rPr>
                <w:rFonts w:cs="Calibri"/>
                <w:color w:val="1F497D" w:themeColor="text2"/>
                <w:szCs w:val="22"/>
                <w:lang w:val="en-GB"/>
              </w:rPr>
              <w:t xml:space="preserve">reflects </w:t>
            </w:r>
            <w:r w:rsidR="00E25D50" w:rsidRPr="008C1E72">
              <w:rPr>
                <w:rFonts w:cs="Calibri"/>
                <w:color w:val="1F497D" w:themeColor="text2"/>
                <w:szCs w:val="22"/>
                <w:lang w:val="en-GB"/>
              </w:rPr>
              <w:t>the ACNC’s current practice</w:t>
            </w:r>
            <w:r w:rsidR="008F5FDA" w:rsidRPr="008C1E72">
              <w:rPr>
                <w:rFonts w:cs="Calibri"/>
                <w:color w:val="1F497D" w:themeColor="text2"/>
                <w:szCs w:val="22"/>
                <w:lang w:val="en-GB"/>
              </w:rPr>
              <w:t xml:space="preserve"> (including a</w:t>
            </w:r>
            <w:r w:rsidR="00E25D50" w:rsidRPr="008C1E72">
              <w:rPr>
                <w:rFonts w:cs="Calibri"/>
                <w:color w:val="1F497D" w:themeColor="text2"/>
                <w:szCs w:val="22"/>
                <w:lang w:val="en-GB"/>
              </w:rPr>
              <w:t>n explanation of the ACNC’s use of an informal enforcement power – compliance agreements</w:t>
            </w:r>
            <w:r w:rsidR="008F5FDA" w:rsidRPr="008C1E72">
              <w:rPr>
                <w:rFonts w:cs="Calibri"/>
                <w:color w:val="1F497D" w:themeColor="text2"/>
                <w:szCs w:val="22"/>
                <w:lang w:val="en-GB"/>
              </w:rPr>
              <w:t>)</w:t>
            </w:r>
            <w:r w:rsidR="00E25D50" w:rsidRPr="008C1E72">
              <w:rPr>
                <w:rFonts w:cs="Calibri"/>
                <w:color w:val="1F497D" w:themeColor="text2"/>
                <w:szCs w:val="22"/>
                <w:lang w:val="en-GB"/>
              </w:rPr>
              <w:t>.</w:t>
            </w:r>
          </w:p>
        </w:tc>
      </w:tr>
      <w:tr w:rsidR="002E196A" w:rsidRPr="008C1E72" w14:paraId="3905AA67" w14:textId="77777777" w:rsidTr="00760E04">
        <w:trPr>
          <w:trHeight w:val="467"/>
        </w:trPr>
        <w:tc>
          <w:tcPr>
            <w:tcW w:w="93" w:type="pct"/>
            <w:gridSpan w:val="2"/>
            <w:shd w:val="clear" w:color="auto" w:fill="D9D9D9" w:themeFill="background1" w:themeFillShade="D9"/>
            <w:vAlign w:val="center"/>
          </w:tcPr>
          <w:p w14:paraId="1AD39309" w14:textId="77777777" w:rsidR="002E196A" w:rsidRPr="008C1E72" w:rsidRDefault="002E196A" w:rsidP="002E196A">
            <w:pPr>
              <w:suppressAutoHyphens/>
              <w:jc w:val="center"/>
              <w:rPr>
                <w:rFonts w:cs="Calibri"/>
                <w:b/>
                <w:szCs w:val="22"/>
                <w:lang w:val="en-GB"/>
              </w:rPr>
            </w:pPr>
            <w:r w:rsidRPr="008C1E72">
              <w:rPr>
                <w:rFonts w:cs="Calibri"/>
                <w:b/>
                <w:szCs w:val="22"/>
                <w:lang w:val="en-GB"/>
              </w:rPr>
              <w:t>B</w:t>
            </w:r>
          </w:p>
        </w:tc>
        <w:tc>
          <w:tcPr>
            <w:tcW w:w="631" w:type="pct"/>
            <w:gridSpan w:val="2"/>
            <w:shd w:val="clear" w:color="auto" w:fill="auto"/>
            <w:vAlign w:val="center"/>
          </w:tcPr>
          <w:p w14:paraId="41BC7A30" w14:textId="77777777" w:rsidR="002E196A" w:rsidRPr="008C1E72" w:rsidRDefault="002E196A" w:rsidP="002E196A">
            <w:pPr>
              <w:spacing w:after="0"/>
              <w:rPr>
                <w:rFonts w:cs="Calibri"/>
                <w:szCs w:val="22"/>
                <w:lang w:val="en-GB"/>
              </w:rPr>
            </w:pPr>
            <w:r w:rsidRPr="008C1E72">
              <w:rPr>
                <w:rFonts w:cs="Calibri"/>
                <w:szCs w:val="22"/>
                <w:lang w:val="en-GB"/>
              </w:rPr>
              <w:t>Regulators’ preferred approach to regulatory risk is regularly reassessed. Strategies, activities and enforcement actions are amended to reflect changing priorities that result from new and evolving regulatory threats, without diminishing regulatory certainty or impact.</w:t>
            </w:r>
          </w:p>
        </w:tc>
        <w:tc>
          <w:tcPr>
            <w:tcW w:w="157" w:type="pct"/>
            <w:gridSpan w:val="2"/>
            <w:shd w:val="clear" w:color="auto" w:fill="D9D9D9" w:themeFill="background1" w:themeFillShade="D9"/>
            <w:vAlign w:val="center"/>
          </w:tcPr>
          <w:p w14:paraId="76A86CEF" w14:textId="77777777" w:rsidR="002E196A" w:rsidRPr="008C1E72" w:rsidRDefault="002E196A" w:rsidP="002E196A">
            <w:pPr>
              <w:suppressAutoHyphens/>
              <w:jc w:val="center"/>
              <w:rPr>
                <w:rFonts w:cs="Calibri"/>
                <w:b/>
                <w:szCs w:val="22"/>
                <w:lang w:val="en-GB"/>
              </w:rPr>
            </w:pPr>
            <w:r w:rsidRPr="008C1E72">
              <w:rPr>
                <w:rFonts w:cs="Calibri"/>
                <w:b/>
                <w:szCs w:val="22"/>
                <w:lang w:val="en-GB"/>
              </w:rPr>
              <w:t>3.3</w:t>
            </w:r>
          </w:p>
        </w:tc>
        <w:tc>
          <w:tcPr>
            <w:tcW w:w="709" w:type="pct"/>
            <w:shd w:val="clear" w:color="auto" w:fill="auto"/>
            <w:vAlign w:val="center"/>
          </w:tcPr>
          <w:p w14:paraId="36680370" w14:textId="77777777" w:rsidR="002E196A" w:rsidRPr="008C1E72" w:rsidRDefault="002E196A" w:rsidP="002E196A">
            <w:pPr>
              <w:spacing w:after="0"/>
              <w:rPr>
                <w:rFonts w:cs="Calibri"/>
                <w:b/>
                <w:szCs w:val="22"/>
                <w:lang w:val="en-GB"/>
              </w:rPr>
            </w:pPr>
            <w:r w:rsidRPr="008C1E72">
              <w:rPr>
                <w:rFonts w:cs="Calibri"/>
                <w:b/>
                <w:szCs w:val="22"/>
                <w:lang w:val="en-GB"/>
              </w:rPr>
              <w:t xml:space="preserve">Regulatory approach is reviewed every three years </w:t>
            </w:r>
          </w:p>
        </w:tc>
        <w:tc>
          <w:tcPr>
            <w:tcW w:w="915" w:type="pct"/>
            <w:gridSpan w:val="2"/>
            <w:shd w:val="clear" w:color="auto" w:fill="auto"/>
            <w:vAlign w:val="center"/>
          </w:tcPr>
          <w:p w14:paraId="4F58A7D8" w14:textId="77777777" w:rsidR="002E196A" w:rsidRPr="008C1E72" w:rsidRDefault="00E25D50" w:rsidP="00F7781B">
            <w:pPr>
              <w:spacing w:after="0"/>
              <w:rPr>
                <w:rFonts w:cs="Calibri"/>
                <w:color w:val="1F497D" w:themeColor="text2"/>
                <w:szCs w:val="22"/>
                <w:highlight w:val="yellow"/>
                <w:lang w:val="en-GB"/>
              </w:rPr>
            </w:pPr>
            <w:r w:rsidRPr="008C1E72">
              <w:rPr>
                <w:rFonts w:cs="Calibri"/>
                <w:color w:val="1F497D" w:themeColor="text2"/>
                <w:szCs w:val="22"/>
                <w:lang w:val="en-GB"/>
              </w:rPr>
              <w:t xml:space="preserve">The ACNC’s Regulatory Approach Statement </w:t>
            </w:r>
          </w:p>
        </w:tc>
        <w:tc>
          <w:tcPr>
            <w:tcW w:w="235" w:type="pct"/>
          </w:tcPr>
          <w:p w14:paraId="172BE03D" w14:textId="77777777" w:rsidR="002E196A" w:rsidRPr="008C1E72" w:rsidRDefault="002E196A" w:rsidP="002E196A">
            <w:pPr>
              <w:spacing w:after="0"/>
              <w:jc w:val="center"/>
              <w:rPr>
                <w:rFonts w:cs="Calibri"/>
                <w:noProof/>
                <w:color w:val="1F497D" w:themeColor="text2"/>
                <w:szCs w:val="22"/>
                <w:highlight w:val="yellow"/>
                <w:lang w:eastAsia="en-AU"/>
              </w:rPr>
            </w:pPr>
          </w:p>
          <w:p w14:paraId="094644AD" w14:textId="77777777" w:rsidR="00F87508" w:rsidRPr="008C1E72" w:rsidRDefault="00F87508" w:rsidP="002E196A">
            <w:pPr>
              <w:spacing w:after="0"/>
              <w:jc w:val="center"/>
              <w:rPr>
                <w:rFonts w:cs="Calibri"/>
                <w:noProof/>
                <w:color w:val="1F497D" w:themeColor="text2"/>
                <w:szCs w:val="22"/>
                <w:lang w:eastAsia="en-AU"/>
              </w:rPr>
            </w:pPr>
          </w:p>
          <w:p w14:paraId="67C56362" w14:textId="77777777" w:rsidR="00F87508" w:rsidRPr="008C1E72" w:rsidRDefault="00F87508" w:rsidP="002E196A">
            <w:pPr>
              <w:spacing w:after="0"/>
              <w:jc w:val="center"/>
              <w:rPr>
                <w:rFonts w:cs="Calibri"/>
                <w:noProof/>
                <w:color w:val="1F497D" w:themeColor="text2"/>
                <w:szCs w:val="22"/>
                <w:lang w:eastAsia="en-AU"/>
              </w:rPr>
            </w:pPr>
          </w:p>
          <w:p w14:paraId="1A828BD5" w14:textId="77777777" w:rsidR="00F87508" w:rsidRPr="008C1E72" w:rsidRDefault="00F87508" w:rsidP="002E196A">
            <w:pPr>
              <w:spacing w:after="0"/>
              <w:jc w:val="center"/>
              <w:rPr>
                <w:rFonts w:cs="Calibri"/>
                <w:noProof/>
                <w:color w:val="1F497D" w:themeColor="text2"/>
                <w:szCs w:val="22"/>
                <w:lang w:eastAsia="en-AU"/>
              </w:rPr>
            </w:pPr>
          </w:p>
          <w:p w14:paraId="1D3B2D11" w14:textId="77777777" w:rsidR="00F87508" w:rsidRPr="008C1E72" w:rsidRDefault="00F87508" w:rsidP="002E196A">
            <w:pPr>
              <w:spacing w:after="0"/>
              <w:jc w:val="center"/>
              <w:rPr>
                <w:rFonts w:cs="Calibri"/>
                <w:noProof/>
                <w:color w:val="1F497D" w:themeColor="text2"/>
                <w:szCs w:val="22"/>
                <w:lang w:eastAsia="en-AU"/>
              </w:rPr>
            </w:pPr>
          </w:p>
          <w:p w14:paraId="023CB1FB" w14:textId="77777777" w:rsidR="002E196A" w:rsidRPr="008C1E72" w:rsidRDefault="002E196A" w:rsidP="002E196A">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w:drawing>
                <wp:inline distT="0" distB="0" distL="0" distR="0" wp14:anchorId="50E2B09C" wp14:editId="239E2D23">
                  <wp:extent cx="201295" cy="21336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0" w:type="pct"/>
          </w:tcPr>
          <w:p w14:paraId="6D84A4A0" w14:textId="77777777" w:rsidR="00E25D50" w:rsidRPr="008C1E72" w:rsidRDefault="00E25D50" w:rsidP="00D65DF6">
            <w:pPr>
              <w:spacing w:before="120"/>
              <w:rPr>
                <w:rFonts w:cs="Calibri"/>
                <w:color w:val="1F497D" w:themeColor="text2"/>
                <w:szCs w:val="22"/>
                <w:lang w:eastAsia="en-AU"/>
              </w:rPr>
            </w:pPr>
            <w:r w:rsidRPr="008C1E72">
              <w:rPr>
                <w:rFonts w:cs="Calibri"/>
                <w:color w:val="1F497D" w:themeColor="text2"/>
                <w:szCs w:val="22"/>
                <w:lang w:eastAsia="en-AU"/>
              </w:rPr>
              <w:t xml:space="preserve">The ACNC’s </w:t>
            </w:r>
            <w:hyperlink r:id="rId68" w:history="1">
              <w:r w:rsidRPr="000177B3">
                <w:rPr>
                  <w:rStyle w:val="Hyperlink"/>
                  <w:rFonts w:cs="Calibri"/>
                  <w:szCs w:val="22"/>
                  <w:lang w:eastAsia="en-AU"/>
                </w:rPr>
                <w:t>Regulatory Approach Statement</w:t>
              </w:r>
            </w:hyperlink>
            <w:r w:rsidRPr="008C1E72">
              <w:rPr>
                <w:rFonts w:cs="Calibri"/>
                <w:color w:val="1F497D" w:themeColor="text2"/>
                <w:szCs w:val="22"/>
                <w:lang w:eastAsia="en-AU"/>
              </w:rPr>
              <w:t xml:space="preserve"> (which </w:t>
            </w:r>
            <w:r w:rsidR="002E196A" w:rsidRPr="008C1E72">
              <w:rPr>
                <w:rFonts w:cs="Calibri"/>
                <w:color w:val="1F497D" w:themeColor="text2"/>
                <w:szCs w:val="22"/>
                <w:lang w:eastAsia="en-AU"/>
              </w:rPr>
              <w:t>guides our approach to charity regulation</w:t>
            </w:r>
            <w:r w:rsidRPr="008C1E72">
              <w:rPr>
                <w:rFonts w:cs="Calibri"/>
                <w:color w:val="1F497D" w:themeColor="text2"/>
                <w:szCs w:val="22"/>
                <w:lang w:eastAsia="en-AU"/>
              </w:rPr>
              <w:t>) was last reviewed in November 2015.</w:t>
            </w:r>
          </w:p>
          <w:p w14:paraId="14AC820B" w14:textId="77777777" w:rsidR="002E196A" w:rsidRPr="008C1E72" w:rsidRDefault="00E25D50" w:rsidP="008F5FDA">
            <w:pPr>
              <w:spacing w:before="120"/>
              <w:rPr>
                <w:rFonts w:cs="Calibri"/>
                <w:color w:val="1F497D" w:themeColor="text2"/>
                <w:szCs w:val="22"/>
                <w:lang w:val="en-GB"/>
              </w:rPr>
            </w:pPr>
            <w:r w:rsidRPr="008C1E72">
              <w:rPr>
                <w:rFonts w:cs="Calibri"/>
                <w:color w:val="1F497D" w:themeColor="text2"/>
                <w:szCs w:val="22"/>
                <w:lang w:val="en-GB"/>
              </w:rPr>
              <w:t xml:space="preserve">The ACNC has commenced a review of this statement to ensure that it remains current, relevant and fit-for-purpose. </w:t>
            </w:r>
          </w:p>
        </w:tc>
      </w:tr>
      <w:tr w:rsidR="002E196A" w:rsidRPr="008C1E72" w14:paraId="20315BED" w14:textId="77777777" w:rsidTr="00760E04">
        <w:trPr>
          <w:trHeight w:val="563"/>
        </w:trPr>
        <w:tc>
          <w:tcPr>
            <w:tcW w:w="93" w:type="pct"/>
            <w:gridSpan w:val="2"/>
            <w:shd w:val="clear" w:color="auto" w:fill="D9D9D9" w:themeFill="background1" w:themeFillShade="D9"/>
            <w:vAlign w:val="center"/>
          </w:tcPr>
          <w:p w14:paraId="2966F30F" w14:textId="77777777" w:rsidR="002E196A" w:rsidRPr="008C1E72" w:rsidRDefault="002E196A" w:rsidP="002E196A">
            <w:pPr>
              <w:spacing w:after="0"/>
              <w:jc w:val="center"/>
              <w:rPr>
                <w:rFonts w:cs="Calibri"/>
                <w:b/>
                <w:szCs w:val="22"/>
                <w:lang w:val="en-GB"/>
              </w:rPr>
            </w:pPr>
            <w:r w:rsidRPr="008C1E72">
              <w:rPr>
                <w:rFonts w:cs="Calibri"/>
                <w:b/>
                <w:szCs w:val="22"/>
                <w:lang w:val="en-GB"/>
              </w:rPr>
              <w:t>C</w:t>
            </w:r>
          </w:p>
          <w:p w14:paraId="6D873E6B" w14:textId="77777777" w:rsidR="002E196A" w:rsidRPr="008C1E72" w:rsidRDefault="002E196A" w:rsidP="002E196A">
            <w:pPr>
              <w:spacing w:after="0"/>
              <w:jc w:val="center"/>
              <w:rPr>
                <w:rFonts w:cs="Calibri"/>
                <w:b/>
                <w:szCs w:val="22"/>
                <w:lang w:val="en-GB"/>
              </w:rPr>
            </w:pPr>
          </w:p>
        </w:tc>
        <w:tc>
          <w:tcPr>
            <w:tcW w:w="631" w:type="pct"/>
            <w:gridSpan w:val="2"/>
            <w:vAlign w:val="center"/>
          </w:tcPr>
          <w:p w14:paraId="78728302" w14:textId="77777777" w:rsidR="002E196A" w:rsidRPr="008C1E72" w:rsidRDefault="002E196A" w:rsidP="002E196A">
            <w:pPr>
              <w:spacing w:after="0"/>
              <w:rPr>
                <w:rFonts w:cs="Calibri"/>
                <w:szCs w:val="22"/>
                <w:lang w:val="en-GB"/>
              </w:rPr>
            </w:pPr>
            <w:r w:rsidRPr="008C1E72">
              <w:rPr>
                <w:rFonts w:cs="Calibri"/>
                <w:szCs w:val="22"/>
                <w:lang w:val="en-GB"/>
              </w:rPr>
              <w:t>Regulators recognise the compliance record of regulated entities, including using earned autonomy where this is appropriate. All available and relevant data on compliance, including evidence of relevant external verification is considered.</w:t>
            </w:r>
          </w:p>
        </w:tc>
        <w:tc>
          <w:tcPr>
            <w:tcW w:w="157" w:type="pct"/>
            <w:gridSpan w:val="2"/>
            <w:shd w:val="clear" w:color="auto" w:fill="D9D9D9" w:themeFill="background1" w:themeFillShade="D9"/>
            <w:vAlign w:val="center"/>
          </w:tcPr>
          <w:p w14:paraId="5C18D28B" w14:textId="77777777" w:rsidR="002E196A" w:rsidRPr="008C1E72" w:rsidRDefault="002E196A" w:rsidP="002E196A">
            <w:pPr>
              <w:spacing w:after="0"/>
              <w:jc w:val="center"/>
              <w:rPr>
                <w:rFonts w:cs="Calibri"/>
                <w:b/>
                <w:szCs w:val="22"/>
                <w:lang w:val="en-GB"/>
              </w:rPr>
            </w:pPr>
            <w:r w:rsidRPr="008C1E72">
              <w:rPr>
                <w:rFonts w:cs="Calibri"/>
                <w:b/>
                <w:szCs w:val="22"/>
                <w:lang w:val="en-GB"/>
              </w:rPr>
              <w:t>3.4</w:t>
            </w:r>
          </w:p>
        </w:tc>
        <w:tc>
          <w:tcPr>
            <w:tcW w:w="709" w:type="pct"/>
            <w:vAlign w:val="center"/>
          </w:tcPr>
          <w:p w14:paraId="3F521136" w14:textId="77777777" w:rsidR="002E196A" w:rsidRPr="008C1E72" w:rsidRDefault="008113BB" w:rsidP="002E196A">
            <w:pPr>
              <w:spacing w:after="0"/>
              <w:rPr>
                <w:rFonts w:cs="Calibri"/>
                <w:b/>
                <w:szCs w:val="22"/>
                <w:lang w:val="en-GB"/>
              </w:rPr>
            </w:pPr>
            <w:r w:rsidRPr="008C1E72">
              <w:rPr>
                <w:rFonts w:cs="Calibri"/>
                <w:b/>
                <w:szCs w:val="22"/>
                <w:lang w:val="en-GB"/>
              </w:rPr>
              <w:t>Compliance and enforcement</w:t>
            </w:r>
            <w:r w:rsidR="002E196A" w:rsidRPr="008C1E72">
              <w:rPr>
                <w:rFonts w:cs="Calibri"/>
                <w:b/>
                <w:szCs w:val="22"/>
                <w:lang w:val="en-GB"/>
              </w:rPr>
              <w:t xml:space="preserve"> policy considers the prior record of a charity and information from previous investigations in its risk assessment, where possible</w:t>
            </w:r>
          </w:p>
        </w:tc>
        <w:tc>
          <w:tcPr>
            <w:tcW w:w="915" w:type="pct"/>
            <w:gridSpan w:val="2"/>
            <w:vAlign w:val="center"/>
          </w:tcPr>
          <w:p w14:paraId="4A6B21FA" w14:textId="77777777" w:rsidR="002E196A" w:rsidRPr="008C1E72" w:rsidRDefault="00167A4A" w:rsidP="00403732">
            <w:pPr>
              <w:spacing w:after="0"/>
              <w:rPr>
                <w:rFonts w:cs="Calibri"/>
                <w:color w:val="1F497D" w:themeColor="text2"/>
                <w:szCs w:val="22"/>
                <w:lang w:val="en-GB"/>
              </w:rPr>
            </w:pPr>
            <w:r w:rsidRPr="008C1E72">
              <w:rPr>
                <w:rFonts w:cs="Calibri"/>
                <w:color w:val="1F497D" w:themeColor="text2"/>
                <w:szCs w:val="22"/>
                <w:lang w:val="en-GB"/>
              </w:rPr>
              <w:t xml:space="preserve"> Our Commissioner’s Policy Statement – Compliance and Enforcement and associated procedures were updated in October, and published on our website in November 2017</w:t>
            </w:r>
          </w:p>
        </w:tc>
        <w:tc>
          <w:tcPr>
            <w:tcW w:w="235" w:type="pct"/>
            <w:vAlign w:val="center"/>
          </w:tcPr>
          <w:p w14:paraId="0B035A1A" w14:textId="77777777" w:rsidR="002E196A" w:rsidRPr="008C1E72" w:rsidRDefault="00F87508" w:rsidP="00F87508">
            <w:pPr>
              <w:spacing w:after="0"/>
              <w:jc w:val="center"/>
              <w:rPr>
                <w:rFonts w:cs="Calibri"/>
                <w:noProof/>
                <w:color w:val="1F497D" w:themeColor="text2"/>
                <w:szCs w:val="22"/>
                <w:highlight w:val="yellow"/>
                <w:lang w:eastAsia="en-AU"/>
              </w:rPr>
            </w:pPr>
            <w:r w:rsidRPr="008C1E72">
              <w:rPr>
                <w:rFonts w:cs="Calibri"/>
                <w:noProof/>
                <w:color w:val="1F497D" w:themeColor="text2"/>
                <w:szCs w:val="22"/>
                <w:lang w:eastAsia="en-AU"/>
              </w:rPr>
              <mc:AlternateContent>
                <mc:Choice Requires="wps">
                  <w:drawing>
                    <wp:anchor distT="0" distB="0" distL="114300" distR="114300" simplePos="0" relativeHeight="251698688" behindDoc="0" locked="0" layoutInCell="1" allowOverlap="1" wp14:anchorId="063650BD" wp14:editId="6CC41EE6">
                      <wp:simplePos x="0" y="0"/>
                      <wp:positionH relativeFrom="column">
                        <wp:posOffset>190500</wp:posOffset>
                      </wp:positionH>
                      <wp:positionV relativeFrom="paragraph">
                        <wp:posOffset>-12065</wp:posOffset>
                      </wp:positionV>
                      <wp:extent cx="144780" cy="144780"/>
                      <wp:effectExtent l="19050" t="19050" r="45720" b="6477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548DD4"/>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CB04A7" id="Oval 22" o:spid="_x0000_s1026" style="position:absolute;margin-left:15pt;margin-top:-.95pt;width:11.4pt;height:11.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" fillcolor="#548dd4" strokecolor="#f2f2f2" strokeweight="3pt">
                      <v:shadow on="t" color="#4e6128" opacity=".5" offset="1pt"/>
                    </v:oval>
                  </w:pict>
                </mc:Fallback>
              </mc:AlternateContent>
            </w:r>
            <w:r w:rsidRPr="008C1E72">
              <w:rPr>
                <w:rFonts w:cs="Calibri"/>
                <w:noProof/>
                <w:color w:val="1F497D" w:themeColor="text2"/>
                <w:szCs w:val="22"/>
                <w:highlight w:val="yellow"/>
                <w:lang w:eastAsia="en-AU"/>
              </w:rPr>
              <w:t xml:space="preserve"> </w:t>
            </w:r>
          </w:p>
        </w:tc>
        <w:tc>
          <w:tcPr>
            <w:tcW w:w="2260" w:type="pct"/>
          </w:tcPr>
          <w:p w14:paraId="1AA4489A" w14:textId="77777777" w:rsidR="002E196A" w:rsidRPr="008C1E72" w:rsidRDefault="002E196A" w:rsidP="008F5FDA">
            <w:pPr>
              <w:spacing w:before="120"/>
              <w:rPr>
                <w:rFonts w:cs="Calibri"/>
                <w:color w:val="1F497D" w:themeColor="text2"/>
                <w:szCs w:val="22"/>
                <w:lang w:val="en-GB"/>
              </w:rPr>
            </w:pPr>
            <w:r w:rsidRPr="008C1E72">
              <w:rPr>
                <w:rFonts w:cs="Calibri"/>
                <w:color w:val="1F497D" w:themeColor="text2"/>
                <w:szCs w:val="22"/>
                <w:lang w:val="en-GB"/>
              </w:rPr>
              <w:t xml:space="preserve">As articulated in the ACNC’s </w:t>
            </w:r>
            <w:hyperlink r:id="rId69" w:history="1">
              <w:r w:rsidRPr="000177B3">
                <w:rPr>
                  <w:rStyle w:val="Hyperlink"/>
                  <w:rFonts w:cs="Calibri"/>
                  <w:szCs w:val="22"/>
                  <w:lang w:val="en-GB"/>
                </w:rPr>
                <w:t>Regulatory Approach Statement</w:t>
              </w:r>
            </w:hyperlink>
            <w:r w:rsidRPr="008C1E72">
              <w:rPr>
                <w:rFonts w:cs="Calibri"/>
                <w:color w:val="1F497D" w:themeColor="text2"/>
                <w:szCs w:val="22"/>
                <w:lang w:val="en-GB"/>
              </w:rPr>
              <w:t xml:space="preserve"> and </w:t>
            </w:r>
            <w:r w:rsidR="00250070" w:rsidRPr="008C1E72">
              <w:rPr>
                <w:rFonts w:cs="Calibri"/>
                <w:color w:val="1F497D" w:themeColor="text2"/>
                <w:szCs w:val="22"/>
                <w:lang w:val="en-GB"/>
              </w:rPr>
              <w:t>the</w:t>
            </w:r>
            <w:r w:rsidR="00250070" w:rsidRPr="008C1E72">
              <w:rPr>
                <w:rFonts w:cs="Calibri"/>
              </w:rPr>
              <w:t xml:space="preserve"> </w:t>
            </w:r>
            <w:hyperlink r:id="rId70" w:history="1">
              <w:r w:rsidR="00250070" w:rsidRPr="00736D5F">
                <w:rPr>
                  <w:rStyle w:val="Hyperlink"/>
                  <w:rFonts w:cs="Calibri"/>
                  <w:szCs w:val="22"/>
                  <w:lang w:val="en-GB"/>
                </w:rPr>
                <w:t>Commissioner’s Policy Statement: Compliance and enforcement</w:t>
              </w:r>
            </w:hyperlink>
            <w:r w:rsidRPr="008C1E72">
              <w:rPr>
                <w:rFonts w:cs="Calibri"/>
                <w:color w:val="1F497D" w:themeColor="text2"/>
                <w:szCs w:val="22"/>
                <w:lang w:val="en-GB"/>
              </w:rPr>
              <w:t xml:space="preserve">, the ACNC considers the prior record of a charity and information from previous investigations in its risk </w:t>
            </w:r>
            <w:r w:rsidR="008F5FDA" w:rsidRPr="008C1E72">
              <w:rPr>
                <w:rFonts w:cs="Calibri"/>
                <w:color w:val="1F497D" w:themeColor="text2"/>
                <w:szCs w:val="22"/>
                <w:lang w:val="en-GB"/>
              </w:rPr>
              <w:t>assessments.</w:t>
            </w:r>
            <w:r w:rsidRPr="008C1E72">
              <w:rPr>
                <w:rFonts w:cs="Calibri"/>
                <w:color w:val="1F497D" w:themeColor="text2"/>
                <w:szCs w:val="22"/>
                <w:lang w:val="en-GB"/>
              </w:rPr>
              <w:t xml:space="preserve"> The ACNC uses a risk-based approach to allocate its compliance resources to address concerns that present the greatest risk to trust and confidence in the sector. </w:t>
            </w:r>
            <w:r w:rsidR="00892F8E" w:rsidRPr="008C1E72">
              <w:rPr>
                <w:rFonts w:cs="Calibri"/>
                <w:color w:val="1F497D" w:themeColor="text2"/>
                <w:szCs w:val="22"/>
                <w:lang w:val="en-GB"/>
              </w:rPr>
              <w:t>A</w:t>
            </w:r>
            <w:r w:rsidRPr="008C1E72">
              <w:rPr>
                <w:rFonts w:cs="Calibri"/>
                <w:color w:val="1F497D" w:themeColor="text2"/>
                <w:szCs w:val="22"/>
                <w:lang w:val="en-GB"/>
              </w:rPr>
              <w:t xml:space="preserve">n entity’s prior behaviour will remain a fundamental consideration. </w:t>
            </w:r>
          </w:p>
          <w:p w14:paraId="2B81F56B" w14:textId="35DD47EA" w:rsidR="008F5FDA" w:rsidRPr="008C1E72" w:rsidRDefault="008F5FDA" w:rsidP="008F5FDA">
            <w:pPr>
              <w:spacing w:before="120"/>
              <w:rPr>
                <w:rFonts w:cs="Calibri"/>
                <w:color w:val="1F497D" w:themeColor="text2"/>
                <w:szCs w:val="22"/>
                <w:lang w:val="en-GB"/>
              </w:rPr>
            </w:pPr>
            <w:r w:rsidRPr="008C1E72">
              <w:rPr>
                <w:rFonts w:cs="Calibri"/>
                <w:color w:val="1F497D" w:themeColor="text2"/>
                <w:szCs w:val="22"/>
                <w:lang w:val="en-GB"/>
              </w:rPr>
              <w:t xml:space="preserve">Prior to commencing an investigation, </w:t>
            </w:r>
            <w:r w:rsidR="00CF00E6" w:rsidRPr="008C1E72">
              <w:rPr>
                <w:rFonts w:cs="Calibri"/>
                <w:color w:val="1F497D" w:themeColor="text2"/>
                <w:szCs w:val="22"/>
                <w:lang w:val="en-GB"/>
              </w:rPr>
              <w:t xml:space="preserve">our </w:t>
            </w:r>
            <w:r w:rsidR="00736D5F">
              <w:rPr>
                <w:rFonts w:cs="Calibri"/>
                <w:color w:val="1F497D" w:themeColor="text2"/>
                <w:szCs w:val="22"/>
                <w:lang w:val="en-GB"/>
              </w:rPr>
              <w:t>C</w:t>
            </w:r>
            <w:r w:rsidR="00CF00E6" w:rsidRPr="008C1E72">
              <w:rPr>
                <w:rFonts w:cs="Calibri"/>
                <w:color w:val="1F497D" w:themeColor="text2"/>
                <w:szCs w:val="22"/>
                <w:lang w:val="en-GB"/>
              </w:rPr>
              <w:t xml:space="preserve">ompliance team </w:t>
            </w:r>
            <w:r w:rsidRPr="008C1E72">
              <w:rPr>
                <w:rFonts w:cs="Calibri"/>
                <w:color w:val="1F497D" w:themeColor="text2"/>
                <w:szCs w:val="22"/>
                <w:lang w:val="en-GB"/>
              </w:rPr>
              <w:t xml:space="preserve">conducts a detailed risk assessment, which includes the review of information provided at referral, and draws on information from various other sources including other government agencies, open source material, and analysis of our own data holdings. </w:t>
            </w:r>
          </w:p>
          <w:p w14:paraId="33B0C990" w14:textId="77777777" w:rsidR="002E196A" w:rsidRPr="008C1E72" w:rsidRDefault="008F5FDA" w:rsidP="008F5FDA">
            <w:pPr>
              <w:spacing w:before="120"/>
              <w:rPr>
                <w:rFonts w:cs="Calibri"/>
                <w:color w:val="1F497D" w:themeColor="text2"/>
                <w:szCs w:val="22"/>
                <w:lang w:val="en-GB"/>
              </w:rPr>
            </w:pPr>
            <w:r w:rsidRPr="008C1E72">
              <w:rPr>
                <w:rFonts w:cs="Calibri"/>
                <w:i/>
                <w:color w:val="1F497D" w:themeColor="text2"/>
                <w:szCs w:val="22"/>
                <w:lang w:val="en-GB"/>
              </w:rPr>
              <w:t>For further information, refer to 3.</w:t>
            </w:r>
            <w:r w:rsidR="00892F8E" w:rsidRPr="008C1E72">
              <w:rPr>
                <w:rFonts w:cs="Calibri"/>
                <w:i/>
                <w:color w:val="1F497D" w:themeColor="text2"/>
                <w:szCs w:val="22"/>
                <w:lang w:val="en-GB"/>
              </w:rPr>
              <w:t>1,</w:t>
            </w:r>
            <w:r w:rsidRPr="008C1E72">
              <w:rPr>
                <w:rFonts w:cs="Calibri"/>
                <w:i/>
                <w:color w:val="1F497D" w:themeColor="text2"/>
                <w:szCs w:val="22"/>
                <w:lang w:val="en-GB"/>
              </w:rPr>
              <w:t xml:space="preserve"> 3.2</w:t>
            </w:r>
            <w:r w:rsidR="00892F8E" w:rsidRPr="008C1E72">
              <w:rPr>
                <w:rFonts w:cs="Calibri"/>
                <w:i/>
                <w:color w:val="1F497D" w:themeColor="text2"/>
                <w:szCs w:val="22"/>
                <w:lang w:val="en-GB"/>
              </w:rPr>
              <w:t xml:space="preserve"> and 4.1</w:t>
            </w:r>
            <w:r w:rsidRPr="008C1E72">
              <w:rPr>
                <w:rFonts w:cs="Calibri"/>
                <w:i/>
                <w:color w:val="1F497D" w:themeColor="text2"/>
                <w:szCs w:val="22"/>
                <w:lang w:val="en-GB"/>
              </w:rPr>
              <w:t>.</w:t>
            </w:r>
          </w:p>
        </w:tc>
      </w:tr>
    </w:tbl>
    <w:tbl>
      <w:tblPr>
        <w:tblStyle w:val="TableGrid11"/>
        <w:tblW w:w="5027" w:type="pct"/>
        <w:tblInd w:w="-34" w:type="dxa"/>
        <w:tblLook w:val="04A0" w:firstRow="1" w:lastRow="0" w:firstColumn="1" w:lastColumn="0" w:noHBand="0" w:noVBand="1"/>
      </w:tblPr>
      <w:tblGrid>
        <w:gridCol w:w="453"/>
        <w:gridCol w:w="2716"/>
        <w:gridCol w:w="756"/>
        <w:gridCol w:w="3192"/>
        <w:gridCol w:w="4201"/>
        <w:gridCol w:w="1059"/>
        <w:gridCol w:w="10259"/>
      </w:tblGrid>
      <w:tr w:rsidR="002E196A" w:rsidRPr="009163A6" w14:paraId="42808764" w14:textId="77777777" w:rsidTr="00760E04">
        <w:trPr>
          <w:trHeight w:val="567"/>
        </w:trPr>
        <w:tc>
          <w:tcPr>
            <w:tcW w:w="5000" w:type="pct"/>
            <w:gridSpan w:val="7"/>
            <w:shd w:val="clear" w:color="auto" w:fill="B8CCE4" w:themeFill="accent1" w:themeFillTint="66"/>
            <w:vAlign w:val="center"/>
          </w:tcPr>
          <w:p w14:paraId="20A058EF"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lang w:val="en-GB"/>
              </w:rPr>
              <w:t>KPI 4 – Compliance and monitoring approaches are streamlined and coordinated</w:t>
            </w:r>
          </w:p>
        </w:tc>
      </w:tr>
      <w:tr w:rsidR="002E196A" w:rsidRPr="009163A6" w14:paraId="7FDF4952" w14:textId="77777777" w:rsidTr="00EC0921">
        <w:trPr>
          <w:trHeight w:val="469"/>
        </w:trPr>
        <w:tc>
          <w:tcPr>
            <w:tcW w:w="100" w:type="pct"/>
            <w:vMerge w:val="restart"/>
            <w:shd w:val="clear" w:color="auto" w:fill="D9D9D9" w:themeFill="background1" w:themeFillShade="D9"/>
            <w:vAlign w:val="center"/>
          </w:tcPr>
          <w:p w14:paraId="57D6D481" w14:textId="77777777" w:rsidR="002E196A" w:rsidRPr="009163A6" w:rsidRDefault="002E196A" w:rsidP="002E196A">
            <w:pPr>
              <w:suppressAutoHyphens/>
              <w:jc w:val="center"/>
              <w:rPr>
                <w:rFonts w:asciiTheme="minorHAnsi" w:hAnsiTheme="minorHAnsi" w:cstheme="minorHAnsi"/>
                <w:b/>
                <w:szCs w:val="22"/>
              </w:rPr>
            </w:pPr>
            <w:r w:rsidRPr="009163A6">
              <w:rPr>
                <w:rFonts w:asciiTheme="minorHAnsi" w:hAnsiTheme="minorHAnsi" w:cstheme="minorHAnsi"/>
                <w:b/>
                <w:szCs w:val="22"/>
              </w:rPr>
              <w:lastRenderedPageBreak/>
              <w:t>A</w:t>
            </w:r>
          </w:p>
        </w:tc>
        <w:tc>
          <w:tcPr>
            <w:tcW w:w="600" w:type="pct"/>
            <w:vMerge w:val="restart"/>
            <w:shd w:val="clear" w:color="auto" w:fill="auto"/>
            <w:vAlign w:val="center"/>
          </w:tcPr>
          <w:p w14:paraId="67A33626"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information requests are tailored and only made when necessary to secure regulatory objectives, and only then in a way that minimises impact.</w:t>
            </w:r>
          </w:p>
          <w:p w14:paraId="7B612F1C" w14:textId="77777777" w:rsidR="002E196A" w:rsidRPr="009163A6" w:rsidRDefault="002E196A" w:rsidP="002E196A">
            <w:pPr>
              <w:spacing w:after="0"/>
              <w:rPr>
                <w:rFonts w:asciiTheme="minorHAnsi" w:hAnsiTheme="minorHAnsi" w:cstheme="minorHAnsi"/>
                <w:szCs w:val="22"/>
              </w:rPr>
            </w:pPr>
          </w:p>
          <w:p w14:paraId="5A59472C"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frequency of information collection is minimised and</w:t>
            </w:r>
          </w:p>
          <w:p w14:paraId="2E0C4285"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coordinated with similar processes including those of other regulators so</w:t>
            </w:r>
            <w:r w:rsidR="004E3FF6" w:rsidRPr="009163A6">
              <w:rPr>
                <w:rFonts w:asciiTheme="minorHAnsi" w:hAnsiTheme="minorHAnsi" w:cstheme="minorHAnsi"/>
                <w:szCs w:val="22"/>
              </w:rPr>
              <w:t xml:space="preserve"> </w:t>
            </w:r>
            <w:r w:rsidRPr="009163A6">
              <w:rPr>
                <w:rFonts w:asciiTheme="minorHAnsi" w:hAnsiTheme="minorHAnsi" w:cstheme="minorHAnsi"/>
                <w:szCs w:val="22"/>
              </w:rPr>
              <w:t>that, as far as possible, information is only requested once.</w:t>
            </w:r>
          </w:p>
        </w:tc>
        <w:tc>
          <w:tcPr>
            <w:tcW w:w="167" w:type="pct"/>
            <w:shd w:val="clear" w:color="auto" w:fill="D9D9D9" w:themeFill="background1" w:themeFillShade="D9"/>
            <w:vAlign w:val="center"/>
          </w:tcPr>
          <w:p w14:paraId="2760B27F" w14:textId="77777777" w:rsidR="002E196A" w:rsidRPr="009163A6" w:rsidRDefault="002E196A" w:rsidP="002E196A">
            <w:pPr>
              <w:suppressAutoHyphens/>
              <w:jc w:val="center"/>
              <w:rPr>
                <w:rFonts w:asciiTheme="minorHAnsi" w:hAnsiTheme="minorHAnsi" w:cstheme="minorHAnsi"/>
                <w:b/>
                <w:szCs w:val="22"/>
              </w:rPr>
            </w:pPr>
            <w:r w:rsidRPr="009163A6">
              <w:rPr>
                <w:rFonts w:asciiTheme="minorHAnsi" w:hAnsiTheme="minorHAnsi" w:cstheme="minorHAnsi"/>
                <w:b/>
                <w:szCs w:val="22"/>
              </w:rPr>
              <w:t>4.1</w:t>
            </w:r>
          </w:p>
        </w:tc>
        <w:tc>
          <w:tcPr>
            <w:tcW w:w="705" w:type="pct"/>
            <w:vAlign w:val="center"/>
          </w:tcPr>
          <w:p w14:paraId="43AC853B"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Compliance teams use internally and publicly available data to identify candidates for investigation</w:t>
            </w:r>
          </w:p>
        </w:tc>
        <w:tc>
          <w:tcPr>
            <w:tcW w:w="928" w:type="pct"/>
            <w:vAlign w:val="center"/>
          </w:tcPr>
          <w:p w14:paraId="4C801322" w14:textId="77777777" w:rsidR="00E31886" w:rsidRPr="009163A6" w:rsidRDefault="00E31886" w:rsidP="002E196A">
            <w:pPr>
              <w:spacing w:after="0"/>
              <w:rPr>
                <w:rFonts w:asciiTheme="minorHAnsi" w:hAnsiTheme="minorHAnsi" w:cstheme="minorHAnsi"/>
                <w:b/>
                <w:szCs w:val="22"/>
                <w:lang w:val="en-GB"/>
              </w:rPr>
            </w:pPr>
          </w:p>
          <w:p w14:paraId="686ACC00" w14:textId="77777777" w:rsidR="00E31886" w:rsidRPr="009163A6" w:rsidRDefault="00E31886" w:rsidP="002E196A">
            <w:pPr>
              <w:spacing w:after="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Use of data holdings</w:t>
            </w:r>
          </w:p>
          <w:p w14:paraId="6421153B" w14:textId="77777777" w:rsidR="00E31886" w:rsidRPr="009163A6" w:rsidRDefault="00E31886" w:rsidP="002E196A">
            <w:pPr>
              <w:spacing w:after="0"/>
              <w:rPr>
                <w:rFonts w:asciiTheme="minorHAnsi" w:hAnsiTheme="minorHAnsi" w:cstheme="minorHAnsi"/>
                <w:szCs w:val="22"/>
                <w:lang w:val="en-GB"/>
              </w:rPr>
            </w:pPr>
          </w:p>
          <w:p w14:paraId="64387496" w14:textId="77777777" w:rsidR="002E196A" w:rsidRPr="009163A6" w:rsidRDefault="00250070" w:rsidP="00920207">
            <w:pPr>
              <w:spacing w:after="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Our Commissioner’s Policy Statement – Compliance and Enforcement and associated procedures were updated in October, and published on our website in November 2017</w:t>
            </w:r>
          </w:p>
        </w:tc>
        <w:tc>
          <w:tcPr>
            <w:tcW w:w="234" w:type="pct"/>
          </w:tcPr>
          <w:p w14:paraId="64DD9DDE"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24FE45C3" w14:textId="77777777" w:rsidR="00F87508" w:rsidRPr="009163A6" w:rsidRDefault="00F87508" w:rsidP="002E196A">
            <w:pPr>
              <w:spacing w:after="0"/>
              <w:jc w:val="center"/>
              <w:rPr>
                <w:rFonts w:asciiTheme="minorHAnsi" w:hAnsiTheme="minorHAnsi" w:cstheme="minorHAnsi"/>
                <w:noProof/>
                <w:color w:val="1F497D" w:themeColor="text2"/>
                <w:szCs w:val="22"/>
                <w:lang w:eastAsia="en-AU"/>
              </w:rPr>
            </w:pPr>
          </w:p>
          <w:p w14:paraId="49C703D6" w14:textId="77777777" w:rsidR="00F87508" w:rsidRPr="009163A6" w:rsidRDefault="00F87508" w:rsidP="002E196A">
            <w:pPr>
              <w:spacing w:after="0"/>
              <w:jc w:val="center"/>
              <w:rPr>
                <w:rFonts w:asciiTheme="minorHAnsi" w:hAnsiTheme="minorHAnsi" w:cstheme="minorHAnsi"/>
                <w:noProof/>
                <w:color w:val="1F497D" w:themeColor="text2"/>
                <w:szCs w:val="22"/>
                <w:lang w:eastAsia="en-AU"/>
              </w:rPr>
            </w:pPr>
          </w:p>
          <w:p w14:paraId="72EAF2D8" w14:textId="77777777" w:rsidR="00F87508" w:rsidRPr="009163A6" w:rsidRDefault="00E76EA9" w:rsidP="002E196A">
            <w:pPr>
              <w:spacing w:after="0"/>
              <w:jc w:val="center"/>
              <w:rPr>
                <w:rFonts w:asciiTheme="minorHAnsi" w:hAnsiTheme="minorHAnsi" w:cstheme="minorHAnsi"/>
                <w:noProof/>
                <w:color w:val="1F497D" w:themeColor="text2"/>
                <w:szCs w:val="22"/>
                <w:lang w:eastAsia="en-AU"/>
              </w:rPr>
            </w:pPr>
            <w:r w:rsidRPr="009163A6">
              <w:rPr>
                <w:rFonts w:asciiTheme="minorHAnsi" w:hAnsiTheme="minorHAnsi" w:cstheme="minorHAnsi"/>
                <w:noProof/>
                <w:color w:val="1F497D" w:themeColor="text2"/>
                <w:szCs w:val="22"/>
                <w:lang w:eastAsia="en-AU"/>
              </w:rPr>
              <w:drawing>
                <wp:inline distT="0" distB="0" distL="0" distR="0" wp14:anchorId="3AE25F42" wp14:editId="196D2AA4">
                  <wp:extent cx="201295" cy="213360"/>
                  <wp:effectExtent l="0" t="0" r="825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p w14:paraId="3A733AF6" w14:textId="77777777" w:rsidR="00F87508" w:rsidRPr="009163A6" w:rsidRDefault="00F87508" w:rsidP="002E196A">
            <w:pPr>
              <w:spacing w:after="0"/>
              <w:jc w:val="center"/>
              <w:rPr>
                <w:rFonts w:asciiTheme="minorHAnsi" w:hAnsiTheme="minorHAnsi" w:cstheme="minorHAnsi"/>
                <w:noProof/>
                <w:color w:val="1F497D" w:themeColor="text2"/>
                <w:szCs w:val="22"/>
                <w:lang w:eastAsia="en-AU"/>
              </w:rPr>
            </w:pPr>
          </w:p>
          <w:p w14:paraId="71A9B7D2"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tc>
        <w:tc>
          <w:tcPr>
            <w:tcW w:w="2266" w:type="pct"/>
          </w:tcPr>
          <w:p w14:paraId="16FDE5EF" w14:textId="051CBBFF" w:rsidR="00920207" w:rsidRPr="009163A6" w:rsidRDefault="00920207" w:rsidP="00920207">
            <w:pPr>
              <w:spacing w:before="12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The ACNC is increasingly analysing its own data holdings as well as working with other regulators and law-enforcement agencies to proactively identify risk and prevent harm from occurring.  Led by a dedicated intelligence analyst and a stronger focus on data and intelligence, the ACNC proactively identified 22 per c</w:t>
            </w:r>
            <w:r w:rsidR="00CF00E6" w:rsidRPr="009163A6">
              <w:rPr>
                <w:rFonts w:asciiTheme="minorHAnsi" w:hAnsiTheme="minorHAnsi" w:cstheme="minorHAnsi"/>
                <w:color w:val="1F497D" w:themeColor="text2"/>
                <w:szCs w:val="22"/>
                <w:lang w:val="en-GB"/>
              </w:rPr>
              <w:t xml:space="preserve">ent of the cases considered by our </w:t>
            </w:r>
            <w:r w:rsidR="00736D5F">
              <w:rPr>
                <w:rFonts w:asciiTheme="minorHAnsi" w:hAnsiTheme="minorHAnsi" w:cstheme="minorHAnsi"/>
                <w:color w:val="1F497D" w:themeColor="text2"/>
                <w:szCs w:val="22"/>
                <w:lang w:val="en-GB"/>
              </w:rPr>
              <w:t>C</w:t>
            </w:r>
            <w:r w:rsidRPr="009163A6">
              <w:rPr>
                <w:rFonts w:asciiTheme="minorHAnsi" w:hAnsiTheme="minorHAnsi" w:cstheme="minorHAnsi"/>
                <w:color w:val="1F497D" w:themeColor="text2"/>
                <w:szCs w:val="22"/>
                <w:lang w:val="en-GB"/>
              </w:rPr>
              <w:t xml:space="preserve">ompliance </w:t>
            </w:r>
            <w:r w:rsidR="00CF00E6" w:rsidRPr="009163A6">
              <w:rPr>
                <w:rFonts w:asciiTheme="minorHAnsi" w:hAnsiTheme="minorHAnsi" w:cstheme="minorHAnsi"/>
                <w:color w:val="1F497D" w:themeColor="text2"/>
                <w:szCs w:val="22"/>
                <w:lang w:val="en-GB"/>
              </w:rPr>
              <w:t xml:space="preserve">team </w:t>
            </w:r>
            <w:r w:rsidRPr="009163A6">
              <w:rPr>
                <w:rFonts w:asciiTheme="minorHAnsi" w:hAnsiTheme="minorHAnsi" w:cstheme="minorHAnsi"/>
                <w:color w:val="1F497D" w:themeColor="text2"/>
                <w:szCs w:val="22"/>
                <w:lang w:val="en-GB"/>
              </w:rPr>
              <w:t xml:space="preserve">through our own data-matching work.  </w:t>
            </w:r>
          </w:p>
          <w:p w14:paraId="256AB201" w14:textId="77777777" w:rsidR="007D1EE9" w:rsidRPr="009163A6" w:rsidRDefault="00920207" w:rsidP="00920207">
            <w:pPr>
              <w:spacing w:before="120"/>
              <w:rPr>
                <w:rFonts w:asciiTheme="minorHAnsi" w:hAnsiTheme="minorHAnsi" w:cstheme="minorHAnsi"/>
                <w:color w:val="1F497D" w:themeColor="text2"/>
                <w:lang w:val="en-GB"/>
              </w:rPr>
            </w:pPr>
            <w:r w:rsidRPr="009163A6">
              <w:rPr>
                <w:rFonts w:asciiTheme="minorHAnsi" w:hAnsiTheme="minorHAnsi" w:cstheme="minorHAnsi"/>
                <w:color w:val="1F497D" w:themeColor="text2"/>
                <w:lang w:val="en-GB"/>
              </w:rPr>
              <w:t>In</w:t>
            </w:r>
            <w:r w:rsidR="007D1EE9" w:rsidRPr="009163A6">
              <w:rPr>
                <w:rFonts w:asciiTheme="minorHAnsi" w:hAnsiTheme="minorHAnsi" w:cstheme="minorHAnsi"/>
                <w:color w:val="1F497D" w:themeColor="text2"/>
                <w:lang w:val="en-GB"/>
              </w:rPr>
              <w:t xml:space="preserve"> May 2018, the ACNC became a designated agency under the </w:t>
            </w:r>
            <w:r w:rsidR="007D1EE9" w:rsidRPr="009163A6">
              <w:rPr>
                <w:rFonts w:asciiTheme="minorHAnsi" w:hAnsiTheme="minorHAnsi" w:cstheme="minorHAnsi"/>
                <w:i/>
                <w:color w:val="1F497D" w:themeColor="text2"/>
                <w:lang w:val="en-GB"/>
              </w:rPr>
              <w:t>Anti-Money Laundering and Counter-Terrorism Financing Act 2006</w:t>
            </w:r>
            <w:r w:rsidR="007D1EE9" w:rsidRPr="009163A6">
              <w:rPr>
                <w:rFonts w:asciiTheme="minorHAnsi" w:hAnsiTheme="minorHAnsi" w:cstheme="minorHAnsi"/>
                <w:color w:val="1F497D" w:themeColor="text2"/>
                <w:lang w:val="en-GB"/>
              </w:rPr>
              <w:t xml:space="preserve"> (Cth). This will allow the ACNC to have direct access to AUSTRAC data, further enhancing the ACNC’s ability to identify areas of risk.</w:t>
            </w:r>
          </w:p>
          <w:p w14:paraId="093BA257" w14:textId="77777777" w:rsidR="007D1EE9" w:rsidRPr="009163A6" w:rsidRDefault="007D1EE9" w:rsidP="00920207">
            <w:pPr>
              <w:spacing w:before="120"/>
              <w:rPr>
                <w:rFonts w:asciiTheme="minorHAnsi" w:hAnsiTheme="minorHAnsi" w:cstheme="minorHAnsi"/>
                <w:color w:val="1F497D" w:themeColor="text2"/>
                <w:lang w:val="en-GB"/>
              </w:rPr>
            </w:pPr>
            <w:r w:rsidRPr="009163A6">
              <w:rPr>
                <w:rFonts w:asciiTheme="minorHAnsi" w:hAnsiTheme="minorHAnsi" w:cstheme="minorHAnsi"/>
                <w:color w:val="1F497D" w:themeColor="text2"/>
                <w:lang w:val="en-GB"/>
              </w:rPr>
              <w:t xml:space="preserve">The ACNC has developed various Memoranda of Understanding </w:t>
            </w:r>
            <w:r w:rsidR="00892F8E" w:rsidRPr="009163A6">
              <w:rPr>
                <w:rFonts w:asciiTheme="minorHAnsi" w:hAnsiTheme="minorHAnsi" w:cstheme="minorHAnsi"/>
                <w:color w:val="1F497D" w:themeColor="text2"/>
                <w:lang w:val="en-GB"/>
              </w:rPr>
              <w:t xml:space="preserve">(MoU) </w:t>
            </w:r>
            <w:r w:rsidRPr="009163A6">
              <w:rPr>
                <w:rFonts w:asciiTheme="minorHAnsi" w:hAnsiTheme="minorHAnsi" w:cstheme="minorHAnsi"/>
                <w:color w:val="1F497D" w:themeColor="text2"/>
                <w:lang w:val="en-GB"/>
              </w:rPr>
              <w:t xml:space="preserve">to ensure that information is shared. In March 2018, the ACNC entered into a MoU with </w:t>
            </w:r>
            <w:r w:rsidR="00892F8E" w:rsidRPr="009163A6">
              <w:rPr>
                <w:rFonts w:asciiTheme="minorHAnsi" w:hAnsiTheme="minorHAnsi" w:cstheme="minorHAnsi"/>
                <w:color w:val="1F497D" w:themeColor="text2"/>
                <w:lang w:val="en-GB"/>
              </w:rPr>
              <w:t xml:space="preserve">the Department of </w:t>
            </w:r>
            <w:r w:rsidRPr="009163A6">
              <w:rPr>
                <w:rFonts w:asciiTheme="minorHAnsi" w:hAnsiTheme="minorHAnsi" w:cstheme="minorHAnsi"/>
                <w:color w:val="1F497D" w:themeColor="text2"/>
                <w:lang w:val="en-GB"/>
              </w:rPr>
              <w:t xml:space="preserve">Prime Minister and </w:t>
            </w:r>
            <w:r w:rsidR="00892F8E" w:rsidRPr="009163A6">
              <w:rPr>
                <w:rFonts w:asciiTheme="minorHAnsi" w:hAnsiTheme="minorHAnsi" w:cstheme="minorHAnsi"/>
                <w:color w:val="1F497D" w:themeColor="text2"/>
                <w:lang w:val="en-GB"/>
              </w:rPr>
              <w:t>C</w:t>
            </w:r>
            <w:r w:rsidRPr="009163A6">
              <w:rPr>
                <w:rFonts w:asciiTheme="minorHAnsi" w:hAnsiTheme="minorHAnsi" w:cstheme="minorHAnsi"/>
                <w:color w:val="1F497D" w:themeColor="text2"/>
                <w:lang w:val="en-GB"/>
              </w:rPr>
              <w:t xml:space="preserve">abinet, which allows us to share information and intelligence on a number of charities of mutual interest. </w:t>
            </w:r>
          </w:p>
          <w:p w14:paraId="4FCF8C24" w14:textId="3A64CCE6" w:rsidR="002E196A" w:rsidRPr="009163A6" w:rsidRDefault="002E196A" w:rsidP="00D65DF6">
            <w:pPr>
              <w:spacing w:before="120"/>
              <w:rPr>
                <w:rFonts w:asciiTheme="minorHAnsi" w:hAnsiTheme="minorHAnsi" w:cstheme="minorHAnsi"/>
                <w:color w:val="1F497D" w:themeColor="text2"/>
                <w:szCs w:val="22"/>
                <w:lang w:eastAsia="en-AU"/>
              </w:rPr>
            </w:pPr>
            <w:r w:rsidRPr="009163A6">
              <w:rPr>
                <w:rFonts w:asciiTheme="minorHAnsi" w:hAnsiTheme="minorHAnsi" w:cstheme="minorHAnsi"/>
                <w:color w:val="1F497D" w:themeColor="text2"/>
                <w:szCs w:val="22"/>
                <w:lang w:eastAsia="en-AU"/>
              </w:rPr>
              <w:t xml:space="preserve">We </w:t>
            </w:r>
            <w:r w:rsidR="00920207" w:rsidRPr="009163A6">
              <w:rPr>
                <w:rFonts w:asciiTheme="minorHAnsi" w:hAnsiTheme="minorHAnsi" w:cstheme="minorHAnsi"/>
                <w:color w:val="1F497D" w:themeColor="text2"/>
                <w:szCs w:val="22"/>
                <w:lang w:eastAsia="en-AU"/>
              </w:rPr>
              <w:t xml:space="preserve">also </w:t>
            </w:r>
            <w:r w:rsidRPr="009163A6">
              <w:rPr>
                <w:rFonts w:asciiTheme="minorHAnsi" w:hAnsiTheme="minorHAnsi" w:cstheme="minorHAnsi"/>
                <w:color w:val="1F497D" w:themeColor="text2"/>
                <w:szCs w:val="22"/>
                <w:lang w:eastAsia="en-AU"/>
              </w:rPr>
              <w:t xml:space="preserve">work with other government bodies and agencies (international, Commonwealth, state/ territory and local governments) to ensure an appropriate whole-of-government approach is taken to </w:t>
            </w:r>
            <w:r w:rsidR="00250070" w:rsidRPr="009163A6">
              <w:rPr>
                <w:rFonts w:asciiTheme="minorHAnsi" w:hAnsiTheme="minorHAnsi" w:cstheme="minorHAnsi"/>
                <w:color w:val="1F497D" w:themeColor="text2"/>
                <w:szCs w:val="22"/>
                <w:lang w:eastAsia="en-AU"/>
              </w:rPr>
              <w:t>c</w:t>
            </w:r>
            <w:r w:rsidR="008113BB" w:rsidRPr="009163A6">
              <w:rPr>
                <w:rFonts w:asciiTheme="minorHAnsi" w:hAnsiTheme="minorHAnsi" w:cstheme="minorHAnsi"/>
                <w:color w:val="1F497D" w:themeColor="text2"/>
                <w:szCs w:val="22"/>
                <w:lang w:eastAsia="en-AU"/>
              </w:rPr>
              <w:t>ompliance and enforcement</w:t>
            </w:r>
            <w:r w:rsidRPr="009163A6">
              <w:rPr>
                <w:rFonts w:asciiTheme="minorHAnsi" w:hAnsiTheme="minorHAnsi" w:cstheme="minorHAnsi"/>
                <w:color w:val="1F497D" w:themeColor="text2"/>
                <w:szCs w:val="22"/>
                <w:lang w:eastAsia="en-AU"/>
              </w:rPr>
              <w:t xml:space="preserve"> matters. Through these close working relationships, the </w:t>
            </w:r>
            <w:r w:rsidR="00736D5F">
              <w:rPr>
                <w:rFonts w:asciiTheme="minorHAnsi" w:hAnsiTheme="minorHAnsi" w:cstheme="minorHAnsi"/>
                <w:color w:val="1F497D" w:themeColor="text2"/>
                <w:szCs w:val="22"/>
                <w:lang w:eastAsia="en-AU"/>
              </w:rPr>
              <w:t>C</w:t>
            </w:r>
            <w:r w:rsidRPr="009163A6">
              <w:rPr>
                <w:rFonts w:asciiTheme="minorHAnsi" w:hAnsiTheme="minorHAnsi" w:cstheme="minorHAnsi"/>
                <w:color w:val="1F497D" w:themeColor="text2"/>
                <w:szCs w:val="22"/>
                <w:lang w:eastAsia="en-AU"/>
              </w:rPr>
              <w:t xml:space="preserve">ompliance team also receives referrals from other government agencies. </w:t>
            </w:r>
          </w:p>
          <w:p w14:paraId="6840252E" w14:textId="77777777" w:rsidR="002E196A" w:rsidRPr="009163A6" w:rsidRDefault="007D1EE9" w:rsidP="00920207">
            <w:pPr>
              <w:spacing w:before="120"/>
              <w:rPr>
                <w:rFonts w:asciiTheme="minorHAnsi" w:hAnsiTheme="minorHAnsi" w:cstheme="minorHAnsi"/>
                <w:bCs/>
                <w:i/>
                <w:smallCaps/>
                <w:color w:val="4F81BD" w:themeColor="accent1"/>
                <w:spacing w:val="5"/>
                <w:sz w:val="24"/>
                <w:szCs w:val="22"/>
                <w:lang w:val="en-GB"/>
              </w:rPr>
            </w:pPr>
            <w:r w:rsidRPr="009163A6">
              <w:rPr>
                <w:rFonts w:asciiTheme="minorHAnsi" w:hAnsiTheme="minorHAnsi" w:cstheme="minorHAnsi"/>
                <w:i/>
                <w:color w:val="1F497D" w:themeColor="text2"/>
                <w:szCs w:val="22"/>
                <w:lang w:val="en-GB"/>
              </w:rPr>
              <w:t>For further information, refer to 3.1</w:t>
            </w:r>
            <w:r w:rsidR="00920207" w:rsidRPr="009163A6">
              <w:rPr>
                <w:rFonts w:asciiTheme="minorHAnsi" w:hAnsiTheme="minorHAnsi" w:cstheme="minorHAnsi"/>
                <w:i/>
                <w:color w:val="1F497D" w:themeColor="text2"/>
                <w:szCs w:val="22"/>
                <w:lang w:val="en-GB"/>
              </w:rPr>
              <w:t>, 3.2</w:t>
            </w:r>
            <w:r w:rsidRPr="009163A6">
              <w:rPr>
                <w:rFonts w:asciiTheme="minorHAnsi" w:hAnsiTheme="minorHAnsi" w:cstheme="minorHAnsi"/>
                <w:i/>
                <w:color w:val="1F497D" w:themeColor="text2"/>
                <w:szCs w:val="22"/>
                <w:lang w:val="en-GB"/>
              </w:rPr>
              <w:t xml:space="preserve"> and </w:t>
            </w:r>
            <w:r w:rsidR="002E196A" w:rsidRPr="009163A6">
              <w:rPr>
                <w:rFonts w:asciiTheme="minorHAnsi" w:hAnsiTheme="minorHAnsi" w:cstheme="minorHAnsi"/>
                <w:i/>
                <w:color w:val="1F497D" w:themeColor="text2"/>
                <w:szCs w:val="22"/>
                <w:lang w:val="en-GB"/>
              </w:rPr>
              <w:t>3.4.</w:t>
            </w:r>
          </w:p>
        </w:tc>
      </w:tr>
      <w:tr w:rsidR="002E196A" w:rsidRPr="009163A6" w14:paraId="44D5746D" w14:textId="77777777" w:rsidTr="00EC0921">
        <w:trPr>
          <w:trHeight w:val="424"/>
        </w:trPr>
        <w:tc>
          <w:tcPr>
            <w:tcW w:w="100" w:type="pct"/>
            <w:vMerge/>
            <w:shd w:val="clear" w:color="auto" w:fill="D9D9D9" w:themeFill="background1" w:themeFillShade="D9"/>
            <w:vAlign w:val="center"/>
          </w:tcPr>
          <w:p w14:paraId="340CD968" w14:textId="77777777" w:rsidR="002E196A" w:rsidRPr="009163A6" w:rsidRDefault="002E196A" w:rsidP="002E196A">
            <w:pPr>
              <w:suppressAutoHyphens/>
              <w:jc w:val="center"/>
              <w:rPr>
                <w:rFonts w:asciiTheme="minorHAnsi" w:hAnsiTheme="minorHAnsi" w:cstheme="minorHAnsi"/>
                <w:b/>
                <w:color w:val="1F497D" w:themeColor="text2"/>
                <w:szCs w:val="22"/>
              </w:rPr>
            </w:pPr>
          </w:p>
        </w:tc>
        <w:tc>
          <w:tcPr>
            <w:tcW w:w="600" w:type="pct"/>
            <w:vMerge/>
            <w:shd w:val="clear" w:color="auto" w:fill="auto"/>
            <w:vAlign w:val="center"/>
          </w:tcPr>
          <w:p w14:paraId="6BFD461E" w14:textId="77777777" w:rsidR="002E196A" w:rsidRPr="009163A6" w:rsidRDefault="002E196A" w:rsidP="002E196A">
            <w:pPr>
              <w:spacing w:after="0"/>
              <w:rPr>
                <w:rFonts w:asciiTheme="minorHAnsi" w:hAnsiTheme="minorHAnsi" w:cstheme="minorHAnsi"/>
                <w:color w:val="1F497D" w:themeColor="text2"/>
                <w:szCs w:val="22"/>
              </w:rPr>
            </w:pPr>
          </w:p>
        </w:tc>
        <w:tc>
          <w:tcPr>
            <w:tcW w:w="167" w:type="pct"/>
            <w:shd w:val="clear" w:color="auto" w:fill="D9D9D9" w:themeFill="background1" w:themeFillShade="D9"/>
            <w:vAlign w:val="center"/>
          </w:tcPr>
          <w:p w14:paraId="6E77D6D8" w14:textId="77777777" w:rsidR="002E196A" w:rsidRPr="009163A6" w:rsidRDefault="002E196A" w:rsidP="002E196A">
            <w:pPr>
              <w:suppressAutoHyphens/>
              <w:jc w:val="center"/>
              <w:rPr>
                <w:rFonts w:asciiTheme="minorHAnsi" w:hAnsiTheme="minorHAnsi" w:cstheme="minorHAnsi"/>
                <w:b/>
                <w:szCs w:val="22"/>
              </w:rPr>
            </w:pPr>
            <w:r w:rsidRPr="009163A6">
              <w:rPr>
                <w:rFonts w:asciiTheme="minorHAnsi" w:hAnsiTheme="minorHAnsi" w:cstheme="minorHAnsi"/>
                <w:b/>
                <w:szCs w:val="22"/>
              </w:rPr>
              <w:t>4.2</w:t>
            </w:r>
          </w:p>
        </w:tc>
        <w:tc>
          <w:tcPr>
            <w:tcW w:w="705" w:type="pct"/>
            <w:vAlign w:val="center"/>
          </w:tcPr>
          <w:p w14:paraId="067A16AE"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ACNC approved forms only request information necessary for the function of the form</w:t>
            </w:r>
          </w:p>
        </w:tc>
        <w:tc>
          <w:tcPr>
            <w:tcW w:w="928" w:type="pct"/>
          </w:tcPr>
          <w:p w14:paraId="14C4CE95" w14:textId="77777777" w:rsidR="007D1EE9" w:rsidRPr="009163A6" w:rsidRDefault="007D1EE9" w:rsidP="002E196A">
            <w:pPr>
              <w:spacing w:after="0"/>
              <w:rPr>
                <w:rFonts w:asciiTheme="minorHAnsi" w:hAnsiTheme="minorHAnsi" w:cstheme="minorHAnsi"/>
                <w:b/>
                <w:szCs w:val="22"/>
              </w:rPr>
            </w:pPr>
          </w:p>
          <w:p w14:paraId="5D35D489" w14:textId="77777777" w:rsidR="00E31886" w:rsidRPr="009163A6" w:rsidRDefault="00E31886" w:rsidP="002E196A">
            <w:pPr>
              <w:spacing w:after="0"/>
              <w:rPr>
                <w:rFonts w:asciiTheme="minorHAnsi" w:hAnsiTheme="minorHAnsi" w:cstheme="minorHAnsi"/>
                <w:color w:val="1F497D" w:themeColor="text2"/>
                <w:szCs w:val="22"/>
              </w:rPr>
            </w:pPr>
          </w:p>
          <w:p w14:paraId="752784A0" w14:textId="77777777" w:rsidR="002E196A" w:rsidRPr="009163A6" w:rsidRDefault="002E196A" w:rsidP="002E196A">
            <w:pPr>
              <w:spacing w:after="0"/>
              <w:rPr>
                <w:rFonts w:asciiTheme="minorHAnsi" w:hAnsiTheme="minorHAnsi" w:cstheme="minorHAnsi"/>
                <w:szCs w:val="22"/>
                <w:highlight w:val="yellow"/>
              </w:rPr>
            </w:pPr>
            <w:r w:rsidRPr="009163A6">
              <w:rPr>
                <w:rFonts w:asciiTheme="minorHAnsi" w:hAnsiTheme="minorHAnsi" w:cstheme="minorHAnsi"/>
                <w:color w:val="1F497D" w:themeColor="text2"/>
                <w:szCs w:val="22"/>
              </w:rPr>
              <w:t>Operational Procedure 2014/03: Creating, updating and reviewing forms.</w:t>
            </w:r>
          </w:p>
        </w:tc>
        <w:tc>
          <w:tcPr>
            <w:tcW w:w="234" w:type="pct"/>
          </w:tcPr>
          <w:p w14:paraId="0817EDCE"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190ABF18" w14:textId="77777777" w:rsidR="00F87508" w:rsidRPr="009163A6" w:rsidRDefault="00F87508" w:rsidP="002E196A">
            <w:pPr>
              <w:spacing w:after="0"/>
              <w:jc w:val="center"/>
              <w:rPr>
                <w:rFonts w:asciiTheme="minorHAnsi" w:hAnsiTheme="minorHAnsi" w:cstheme="minorHAnsi"/>
                <w:noProof/>
                <w:color w:val="1F497D" w:themeColor="text2"/>
                <w:szCs w:val="22"/>
                <w:lang w:eastAsia="en-AU"/>
              </w:rPr>
            </w:pPr>
          </w:p>
          <w:p w14:paraId="4C51CB98"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0C0989E2" wp14:editId="64FB4E55">
                  <wp:extent cx="201295" cy="21336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6" w:type="pct"/>
          </w:tcPr>
          <w:p w14:paraId="78FC51D1" w14:textId="77777777" w:rsidR="002E196A" w:rsidRPr="009163A6" w:rsidRDefault="002E196A" w:rsidP="007D1EE9">
            <w:pPr>
              <w:spacing w:before="12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rPr>
              <w:t xml:space="preserve">The ACNC has published </w:t>
            </w:r>
            <w:hyperlink r:id="rId71" w:history="1">
              <w:r w:rsidRPr="00736D5F">
                <w:rPr>
                  <w:rStyle w:val="Hyperlink"/>
                  <w:rFonts w:asciiTheme="minorHAnsi" w:hAnsiTheme="minorHAnsi" w:cstheme="minorHAnsi"/>
                  <w:szCs w:val="22"/>
                </w:rPr>
                <w:t>Operational Procedure 2014/03: Creating, updating and reviewing forms</w:t>
              </w:r>
            </w:hyperlink>
            <w:r w:rsidRPr="009163A6">
              <w:rPr>
                <w:rFonts w:asciiTheme="minorHAnsi" w:hAnsiTheme="minorHAnsi" w:cstheme="minorHAnsi"/>
                <w:color w:val="1F497D" w:themeColor="text2"/>
                <w:szCs w:val="22"/>
              </w:rPr>
              <w:t xml:space="preserve">. This policy confirms that when drafting or modifying any forms, that the purpose and function of the form should be considered, and only information needed to fulfil these functions should be requested. The reporting obligations imposed by ACNC forms are also overseen by the </w:t>
            </w:r>
            <w:r w:rsidR="007D1EE9" w:rsidRPr="009163A6">
              <w:rPr>
                <w:rFonts w:asciiTheme="minorHAnsi" w:hAnsiTheme="minorHAnsi" w:cstheme="minorHAnsi"/>
                <w:color w:val="1F497D" w:themeColor="text2"/>
                <w:szCs w:val="22"/>
              </w:rPr>
              <w:t>Management Committee Meeting</w:t>
            </w:r>
            <w:r w:rsidRPr="009163A6">
              <w:rPr>
                <w:rFonts w:asciiTheme="minorHAnsi" w:hAnsiTheme="minorHAnsi" w:cstheme="minorHAnsi"/>
                <w:color w:val="1F497D" w:themeColor="text2"/>
                <w:szCs w:val="22"/>
                <w:lang w:val="en-GB"/>
              </w:rPr>
              <w:t>.</w:t>
            </w:r>
          </w:p>
          <w:p w14:paraId="02DBC9B2" w14:textId="77777777" w:rsidR="002E196A" w:rsidRPr="009163A6" w:rsidRDefault="007D1EE9" w:rsidP="007D1EE9">
            <w:pPr>
              <w:spacing w:before="120"/>
              <w:rPr>
                <w:rFonts w:asciiTheme="minorHAnsi" w:hAnsiTheme="minorHAnsi" w:cstheme="minorHAnsi"/>
                <w:i/>
                <w:color w:val="1F497D" w:themeColor="text2"/>
                <w:szCs w:val="22"/>
                <w:highlight w:val="yellow"/>
              </w:rPr>
            </w:pPr>
            <w:r w:rsidRPr="009163A6">
              <w:rPr>
                <w:rFonts w:asciiTheme="minorHAnsi" w:hAnsiTheme="minorHAnsi" w:cstheme="minorHAnsi"/>
                <w:i/>
                <w:color w:val="1F497D" w:themeColor="text2"/>
                <w:szCs w:val="22"/>
                <w:lang w:val="en-GB"/>
              </w:rPr>
              <w:t xml:space="preserve">For further information, refer to </w:t>
            </w:r>
            <w:r w:rsidR="002E196A" w:rsidRPr="009163A6">
              <w:rPr>
                <w:rFonts w:asciiTheme="minorHAnsi" w:hAnsiTheme="minorHAnsi" w:cstheme="minorHAnsi"/>
                <w:i/>
                <w:color w:val="1F497D" w:themeColor="text2"/>
                <w:szCs w:val="22"/>
                <w:lang w:val="en-GB"/>
              </w:rPr>
              <w:t>1.3.</w:t>
            </w:r>
          </w:p>
        </w:tc>
      </w:tr>
      <w:tr w:rsidR="002E196A" w:rsidRPr="009163A6" w14:paraId="79D035C5" w14:textId="77777777" w:rsidTr="00EC0921">
        <w:trPr>
          <w:trHeight w:val="691"/>
        </w:trPr>
        <w:tc>
          <w:tcPr>
            <w:tcW w:w="100" w:type="pct"/>
            <w:vMerge/>
            <w:shd w:val="clear" w:color="auto" w:fill="D9D9D9" w:themeFill="background1" w:themeFillShade="D9"/>
            <w:vAlign w:val="center"/>
          </w:tcPr>
          <w:p w14:paraId="4BE04D5F" w14:textId="77777777" w:rsidR="002E196A" w:rsidRPr="009163A6" w:rsidRDefault="002E196A" w:rsidP="002E196A">
            <w:pPr>
              <w:suppressAutoHyphens/>
              <w:jc w:val="center"/>
              <w:rPr>
                <w:rFonts w:asciiTheme="minorHAnsi" w:hAnsiTheme="minorHAnsi" w:cstheme="minorHAnsi"/>
                <w:b/>
                <w:color w:val="1F497D" w:themeColor="text2"/>
                <w:szCs w:val="22"/>
              </w:rPr>
            </w:pPr>
          </w:p>
        </w:tc>
        <w:tc>
          <w:tcPr>
            <w:tcW w:w="600" w:type="pct"/>
            <w:vMerge/>
            <w:shd w:val="clear" w:color="auto" w:fill="auto"/>
            <w:vAlign w:val="center"/>
          </w:tcPr>
          <w:p w14:paraId="770502D6" w14:textId="77777777" w:rsidR="002E196A" w:rsidRPr="009163A6" w:rsidRDefault="002E196A" w:rsidP="002E196A">
            <w:pPr>
              <w:spacing w:after="0"/>
              <w:rPr>
                <w:rFonts w:asciiTheme="minorHAnsi" w:hAnsiTheme="minorHAnsi" w:cstheme="minorHAnsi"/>
                <w:color w:val="1F497D" w:themeColor="text2"/>
                <w:szCs w:val="22"/>
              </w:rPr>
            </w:pPr>
          </w:p>
        </w:tc>
        <w:tc>
          <w:tcPr>
            <w:tcW w:w="167" w:type="pct"/>
            <w:shd w:val="clear" w:color="auto" w:fill="D9D9D9" w:themeFill="background1" w:themeFillShade="D9"/>
            <w:vAlign w:val="center"/>
          </w:tcPr>
          <w:p w14:paraId="164AB6F8" w14:textId="77777777" w:rsidR="002E196A" w:rsidRPr="009163A6" w:rsidRDefault="002E196A" w:rsidP="002E196A">
            <w:pPr>
              <w:suppressAutoHyphens/>
              <w:jc w:val="center"/>
              <w:rPr>
                <w:rFonts w:asciiTheme="minorHAnsi" w:hAnsiTheme="minorHAnsi" w:cstheme="minorHAnsi"/>
                <w:b/>
                <w:szCs w:val="22"/>
              </w:rPr>
            </w:pPr>
            <w:r w:rsidRPr="009163A6">
              <w:rPr>
                <w:rFonts w:asciiTheme="minorHAnsi" w:hAnsiTheme="minorHAnsi" w:cstheme="minorHAnsi"/>
                <w:b/>
                <w:szCs w:val="22"/>
              </w:rPr>
              <w:t>4.3</w:t>
            </w:r>
          </w:p>
        </w:tc>
        <w:tc>
          <w:tcPr>
            <w:tcW w:w="705" w:type="pct"/>
            <w:shd w:val="clear" w:color="auto" w:fill="auto"/>
            <w:vAlign w:val="center"/>
          </w:tcPr>
          <w:p w14:paraId="4B59F8DF"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The Annual Information Statement is available through the online ACNC Charity Portal</w:t>
            </w:r>
          </w:p>
        </w:tc>
        <w:tc>
          <w:tcPr>
            <w:tcW w:w="928" w:type="pct"/>
            <w:shd w:val="clear" w:color="auto" w:fill="auto"/>
          </w:tcPr>
          <w:p w14:paraId="55AD665E" w14:textId="77777777" w:rsidR="007D1EE9" w:rsidRPr="009163A6" w:rsidRDefault="007D1EE9" w:rsidP="002E196A">
            <w:pPr>
              <w:spacing w:after="0"/>
              <w:rPr>
                <w:rFonts w:asciiTheme="minorHAnsi" w:hAnsiTheme="minorHAnsi" w:cstheme="minorHAnsi"/>
                <w:color w:val="1F497D" w:themeColor="text2"/>
                <w:szCs w:val="22"/>
              </w:rPr>
            </w:pPr>
          </w:p>
          <w:p w14:paraId="783CF871" w14:textId="77777777" w:rsidR="007D1EE9" w:rsidRPr="009163A6" w:rsidRDefault="007D1EE9" w:rsidP="002E196A">
            <w:pPr>
              <w:spacing w:after="0"/>
              <w:rPr>
                <w:rFonts w:asciiTheme="minorHAnsi" w:hAnsiTheme="minorHAnsi" w:cstheme="minorHAnsi"/>
                <w:color w:val="1F497D" w:themeColor="text2"/>
                <w:szCs w:val="22"/>
              </w:rPr>
            </w:pPr>
          </w:p>
          <w:p w14:paraId="5613EE27" w14:textId="77777777" w:rsidR="007D1EE9" w:rsidRPr="009163A6" w:rsidRDefault="007D1EE9" w:rsidP="002E196A">
            <w:pPr>
              <w:spacing w:after="0"/>
              <w:rPr>
                <w:rFonts w:asciiTheme="minorHAnsi" w:hAnsiTheme="minorHAnsi" w:cstheme="minorHAnsi"/>
                <w:color w:val="1F497D" w:themeColor="text2"/>
                <w:szCs w:val="22"/>
              </w:rPr>
            </w:pPr>
          </w:p>
          <w:p w14:paraId="55A4259C" w14:textId="77777777" w:rsidR="002E196A" w:rsidRPr="009163A6" w:rsidRDefault="007D1EE9" w:rsidP="002E196A">
            <w:pPr>
              <w:spacing w:after="0"/>
              <w:rPr>
                <w:rFonts w:asciiTheme="minorHAnsi" w:hAnsiTheme="minorHAnsi" w:cstheme="minorHAnsi"/>
                <w:szCs w:val="22"/>
                <w:highlight w:val="yellow"/>
              </w:rPr>
            </w:pPr>
            <w:r w:rsidRPr="009163A6">
              <w:rPr>
                <w:rFonts w:asciiTheme="minorHAnsi" w:hAnsiTheme="minorHAnsi" w:cstheme="minorHAnsi"/>
                <w:color w:val="1F497D" w:themeColor="text2"/>
                <w:szCs w:val="22"/>
              </w:rPr>
              <w:t>The 2017</w:t>
            </w:r>
            <w:r w:rsidR="002E196A" w:rsidRPr="009163A6">
              <w:rPr>
                <w:rFonts w:asciiTheme="minorHAnsi" w:hAnsiTheme="minorHAnsi" w:cstheme="minorHAnsi"/>
                <w:color w:val="1F497D" w:themeColor="text2"/>
                <w:szCs w:val="22"/>
              </w:rPr>
              <w:t xml:space="preserve"> Annual Information Statement was made available throug</w:t>
            </w:r>
            <w:r w:rsidR="009E6DE6" w:rsidRPr="009163A6">
              <w:rPr>
                <w:rFonts w:asciiTheme="minorHAnsi" w:hAnsiTheme="minorHAnsi" w:cstheme="minorHAnsi"/>
                <w:color w:val="1F497D" w:themeColor="text2"/>
                <w:szCs w:val="22"/>
              </w:rPr>
              <w:t>h the online Charity Portal in</w:t>
            </w:r>
            <w:r w:rsidRPr="009163A6">
              <w:rPr>
                <w:rFonts w:asciiTheme="minorHAnsi" w:hAnsiTheme="minorHAnsi" w:cstheme="minorHAnsi"/>
                <w:color w:val="1F497D" w:themeColor="text2"/>
                <w:szCs w:val="22"/>
              </w:rPr>
              <w:t xml:space="preserve"> July 201</w:t>
            </w:r>
            <w:r w:rsidR="009E6DE6" w:rsidRPr="009163A6">
              <w:rPr>
                <w:rFonts w:asciiTheme="minorHAnsi" w:hAnsiTheme="minorHAnsi" w:cstheme="minorHAnsi"/>
                <w:color w:val="1F497D" w:themeColor="text2"/>
                <w:szCs w:val="22"/>
              </w:rPr>
              <w:t>7</w:t>
            </w:r>
          </w:p>
        </w:tc>
        <w:tc>
          <w:tcPr>
            <w:tcW w:w="234" w:type="pct"/>
          </w:tcPr>
          <w:p w14:paraId="1543AA8A"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5FF233F1" w14:textId="77777777" w:rsidR="00F87508" w:rsidRPr="009163A6" w:rsidRDefault="00F87508" w:rsidP="002E196A">
            <w:pPr>
              <w:spacing w:after="0"/>
              <w:jc w:val="center"/>
              <w:rPr>
                <w:rFonts w:asciiTheme="minorHAnsi" w:hAnsiTheme="minorHAnsi" w:cstheme="minorHAnsi"/>
                <w:noProof/>
                <w:color w:val="1F497D" w:themeColor="text2"/>
                <w:szCs w:val="22"/>
                <w:lang w:eastAsia="en-AU"/>
              </w:rPr>
            </w:pPr>
          </w:p>
          <w:p w14:paraId="69BF8D26" w14:textId="77777777" w:rsidR="00F87508" w:rsidRPr="009163A6" w:rsidRDefault="00F87508" w:rsidP="002E196A">
            <w:pPr>
              <w:spacing w:after="0"/>
              <w:jc w:val="center"/>
              <w:rPr>
                <w:rFonts w:asciiTheme="minorHAnsi" w:hAnsiTheme="minorHAnsi" w:cstheme="minorHAnsi"/>
                <w:noProof/>
                <w:color w:val="1F497D" w:themeColor="text2"/>
                <w:szCs w:val="22"/>
                <w:lang w:eastAsia="en-AU"/>
              </w:rPr>
            </w:pPr>
          </w:p>
          <w:p w14:paraId="7496DA85"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17F90BAB" wp14:editId="48414B1B">
                  <wp:extent cx="201295" cy="21336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6" w:type="pct"/>
          </w:tcPr>
          <w:p w14:paraId="5A4A19D9" w14:textId="77777777" w:rsidR="002E196A" w:rsidRPr="009163A6" w:rsidRDefault="002E196A" w:rsidP="007D1EE9">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Charity Portal is a secure ‘self-service’ system for charities. Charities can log in and complete tasks that would have previously required them to submit a form via email or post, saving significant time and effort. Our aim is that charities can complete all reporting requirements with minimum effort and maximum accuracy.</w:t>
            </w:r>
          </w:p>
          <w:p w14:paraId="67CE8BA5" w14:textId="77777777" w:rsidR="002E196A" w:rsidRPr="009163A6" w:rsidRDefault="007D1EE9" w:rsidP="007D1EE9">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The online version of the 2017 Annual Information Statement was published on 20 July 2017 – the earliest launch of an Annual Information Statement in the history of the ACNC. </w:t>
            </w:r>
            <w:r w:rsidR="002E196A" w:rsidRPr="009163A6">
              <w:rPr>
                <w:rFonts w:asciiTheme="minorHAnsi" w:hAnsiTheme="minorHAnsi" w:cstheme="minorHAnsi"/>
                <w:color w:val="1F497D" w:themeColor="text2"/>
                <w:szCs w:val="22"/>
              </w:rPr>
              <w:t>Improvements were made to the 201</w:t>
            </w:r>
            <w:r w:rsidRPr="009163A6">
              <w:rPr>
                <w:rFonts w:asciiTheme="minorHAnsi" w:hAnsiTheme="minorHAnsi" w:cstheme="minorHAnsi"/>
                <w:color w:val="1F497D" w:themeColor="text2"/>
                <w:szCs w:val="22"/>
              </w:rPr>
              <w:t xml:space="preserve">7 </w:t>
            </w:r>
            <w:r w:rsidR="002E196A" w:rsidRPr="009163A6">
              <w:rPr>
                <w:rFonts w:asciiTheme="minorHAnsi" w:hAnsiTheme="minorHAnsi" w:cstheme="minorHAnsi"/>
                <w:color w:val="1F497D" w:themeColor="text2"/>
                <w:szCs w:val="22"/>
              </w:rPr>
              <w:t>Annual Information Statement in both functionality and guidance.</w:t>
            </w:r>
          </w:p>
        </w:tc>
      </w:tr>
      <w:tr w:rsidR="002E196A" w:rsidRPr="009163A6" w14:paraId="74A13E52" w14:textId="77777777" w:rsidTr="00EC0921">
        <w:trPr>
          <w:trHeight w:val="676"/>
        </w:trPr>
        <w:tc>
          <w:tcPr>
            <w:tcW w:w="100" w:type="pct"/>
            <w:vMerge/>
            <w:shd w:val="clear" w:color="auto" w:fill="D9D9D9" w:themeFill="background1" w:themeFillShade="D9"/>
            <w:vAlign w:val="center"/>
          </w:tcPr>
          <w:p w14:paraId="43ABB7EF" w14:textId="77777777" w:rsidR="002E196A" w:rsidRPr="009163A6" w:rsidRDefault="002E196A" w:rsidP="002E196A">
            <w:pPr>
              <w:suppressAutoHyphens/>
              <w:jc w:val="center"/>
              <w:rPr>
                <w:rFonts w:asciiTheme="minorHAnsi" w:hAnsiTheme="minorHAnsi" w:cstheme="minorHAnsi"/>
                <w:b/>
                <w:color w:val="1F497D" w:themeColor="text2"/>
                <w:szCs w:val="22"/>
              </w:rPr>
            </w:pPr>
          </w:p>
        </w:tc>
        <w:tc>
          <w:tcPr>
            <w:tcW w:w="600" w:type="pct"/>
            <w:vMerge/>
            <w:vAlign w:val="center"/>
          </w:tcPr>
          <w:p w14:paraId="2DBC1EEC" w14:textId="77777777" w:rsidR="002E196A" w:rsidRPr="009163A6" w:rsidRDefault="002E196A" w:rsidP="002E196A">
            <w:pPr>
              <w:spacing w:after="0"/>
              <w:rPr>
                <w:rFonts w:asciiTheme="minorHAnsi" w:hAnsiTheme="minorHAnsi" w:cstheme="minorHAnsi"/>
                <w:color w:val="1F497D" w:themeColor="text2"/>
                <w:szCs w:val="22"/>
              </w:rPr>
            </w:pPr>
          </w:p>
        </w:tc>
        <w:tc>
          <w:tcPr>
            <w:tcW w:w="167" w:type="pct"/>
            <w:shd w:val="clear" w:color="auto" w:fill="D9D9D9" w:themeFill="background1" w:themeFillShade="D9"/>
            <w:vAlign w:val="center"/>
          </w:tcPr>
          <w:p w14:paraId="24FB0812" w14:textId="77777777" w:rsidR="002E196A" w:rsidRPr="009163A6" w:rsidRDefault="002E196A" w:rsidP="002E196A">
            <w:pPr>
              <w:suppressAutoHyphens/>
              <w:jc w:val="center"/>
              <w:rPr>
                <w:rFonts w:asciiTheme="minorHAnsi" w:hAnsiTheme="minorHAnsi" w:cstheme="minorHAnsi"/>
                <w:b/>
                <w:szCs w:val="22"/>
              </w:rPr>
            </w:pPr>
            <w:r w:rsidRPr="009163A6">
              <w:rPr>
                <w:rFonts w:asciiTheme="minorHAnsi" w:hAnsiTheme="minorHAnsi" w:cstheme="minorHAnsi"/>
                <w:b/>
                <w:szCs w:val="22"/>
              </w:rPr>
              <w:t>4.4</w:t>
            </w:r>
          </w:p>
        </w:tc>
        <w:tc>
          <w:tcPr>
            <w:tcW w:w="705" w:type="pct"/>
            <w:tcBorders>
              <w:bottom w:val="single" w:sz="4" w:space="0" w:color="auto"/>
            </w:tcBorders>
            <w:vAlign w:val="center"/>
          </w:tcPr>
          <w:p w14:paraId="4D716731"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Streamlined reporting processes are implemented to obtain information from other regulators where appropriate</w:t>
            </w:r>
          </w:p>
        </w:tc>
        <w:tc>
          <w:tcPr>
            <w:tcW w:w="928" w:type="pct"/>
            <w:tcBorders>
              <w:bottom w:val="single" w:sz="4" w:space="0" w:color="auto"/>
            </w:tcBorders>
            <w:vAlign w:val="center"/>
          </w:tcPr>
          <w:p w14:paraId="129095AD" w14:textId="77777777" w:rsidR="002E196A" w:rsidRPr="009163A6" w:rsidDel="00736E96" w:rsidRDefault="007D1EE9" w:rsidP="002E196A">
            <w:pPr>
              <w:spacing w:after="0"/>
              <w:rPr>
                <w:rFonts w:asciiTheme="minorHAnsi" w:hAnsiTheme="minorHAnsi" w:cstheme="minorHAnsi"/>
                <w:szCs w:val="22"/>
                <w:highlight w:val="yellow"/>
              </w:rPr>
            </w:pPr>
            <w:r w:rsidRPr="009163A6">
              <w:rPr>
                <w:rFonts w:asciiTheme="minorHAnsi" w:hAnsiTheme="minorHAnsi" w:cstheme="minorHAnsi"/>
                <w:color w:val="1F497D" w:themeColor="text2"/>
                <w:szCs w:val="22"/>
              </w:rPr>
              <w:t>S</w:t>
            </w:r>
            <w:r w:rsidR="002E196A" w:rsidRPr="009163A6">
              <w:rPr>
                <w:rFonts w:asciiTheme="minorHAnsi" w:hAnsiTheme="minorHAnsi" w:cstheme="minorHAnsi"/>
                <w:color w:val="1F497D" w:themeColor="text2"/>
                <w:szCs w:val="22"/>
              </w:rPr>
              <w:t>treamlined reporting in place for</w:t>
            </w:r>
            <w:r w:rsidR="009E6DE6" w:rsidRPr="009163A6">
              <w:rPr>
                <w:rFonts w:asciiTheme="minorHAnsi" w:hAnsiTheme="minorHAnsi" w:cstheme="minorHAnsi"/>
                <w:color w:val="1F497D" w:themeColor="text2"/>
                <w:szCs w:val="22"/>
              </w:rPr>
              <w:t xml:space="preserve"> a range of charities</w:t>
            </w:r>
          </w:p>
        </w:tc>
        <w:tc>
          <w:tcPr>
            <w:tcW w:w="234" w:type="pct"/>
            <w:tcBorders>
              <w:bottom w:val="single" w:sz="4" w:space="0" w:color="auto"/>
            </w:tcBorders>
          </w:tcPr>
          <w:p w14:paraId="4FCABD47"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2FCC25CF" w14:textId="77777777" w:rsidR="007D1EE9" w:rsidRPr="009163A6" w:rsidRDefault="007D1EE9" w:rsidP="007D1EE9">
            <w:pPr>
              <w:spacing w:after="0"/>
              <w:jc w:val="center"/>
              <w:rPr>
                <w:rFonts w:asciiTheme="minorHAnsi" w:hAnsiTheme="minorHAnsi" w:cstheme="minorHAnsi"/>
                <w:noProof/>
                <w:color w:val="1F497D" w:themeColor="text2"/>
                <w:szCs w:val="22"/>
                <w:highlight w:val="yellow"/>
                <w:lang w:eastAsia="en-AU"/>
              </w:rPr>
            </w:pPr>
          </w:p>
          <w:p w14:paraId="45D347F2" w14:textId="77777777" w:rsidR="00F87508" w:rsidRPr="009163A6" w:rsidRDefault="00F87508" w:rsidP="007D1EE9">
            <w:pPr>
              <w:spacing w:after="0"/>
              <w:jc w:val="center"/>
              <w:rPr>
                <w:rFonts w:asciiTheme="minorHAnsi" w:hAnsiTheme="minorHAnsi" w:cstheme="minorHAnsi"/>
                <w:noProof/>
                <w:color w:val="1F497D" w:themeColor="text2"/>
                <w:szCs w:val="22"/>
                <w:highlight w:val="yellow"/>
                <w:lang w:eastAsia="en-AU"/>
              </w:rPr>
            </w:pPr>
          </w:p>
          <w:p w14:paraId="557BEF45" w14:textId="77777777" w:rsidR="00F87508" w:rsidRPr="009163A6" w:rsidRDefault="00F87508" w:rsidP="007D1EE9">
            <w:pPr>
              <w:spacing w:after="0"/>
              <w:jc w:val="center"/>
              <w:rPr>
                <w:rFonts w:asciiTheme="minorHAnsi" w:hAnsiTheme="minorHAnsi" w:cstheme="minorHAnsi"/>
                <w:noProof/>
                <w:color w:val="1F497D" w:themeColor="text2"/>
                <w:szCs w:val="22"/>
                <w:highlight w:val="yellow"/>
                <w:lang w:eastAsia="en-AU"/>
              </w:rPr>
            </w:pPr>
          </w:p>
          <w:p w14:paraId="0E971A8A" w14:textId="77777777" w:rsidR="007D1EE9" w:rsidRPr="009163A6" w:rsidRDefault="007D1EE9" w:rsidP="007D1EE9">
            <w:pPr>
              <w:spacing w:after="0"/>
              <w:jc w:val="center"/>
              <w:rPr>
                <w:rFonts w:asciiTheme="minorHAnsi" w:hAnsiTheme="minorHAnsi" w:cstheme="minorHAnsi"/>
                <w:noProof/>
                <w:color w:val="1F497D" w:themeColor="text2"/>
                <w:szCs w:val="22"/>
                <w:highlight w:val="yellow"/>
                <w:lang w:eastAsia="en-AU"/>
              </w:rPr>
            </w:pPr>
          </w:p>
          <w:p w14:paraId="55E1C5E5" w14:textId="77777777" w:rsidR="007D1EE9" w:rsidRPr="009163A6" w:rsidRDefault="00167A4A" w:rsidP="007D1EE9">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highlight w:val="yellow"/>
                <w:lang w:eastAsia="en-AU"/>
              </w:rPr>
              <mc:AlternateContent>
                <mc:Choice Requires="wps">
                  <w:drawing>
                    <wp:anchor distT="0" distB="0" distL="114300" distR="114300" simplePos="0" relativeHeight="251693568" behindDoc="0" locked="0" layoutInCell="1" allowOverlap="1" wp14:anchorId="0BEB1631" wp14:editId="54BEFEEF">
                      <wp:simplePos x="0" y="0"/>
                      <wp:positionH relativeFrom="column">
                        <wp:posOffset>166370</wp:posOffset>
                      </wp:positionH>
                      <wp:positionV relativeFrom="paragraph">
                        <wp:posOffset>57150</wp:posOffset>
                      </wp:positionV>
                      <wp:extent cx="144780" cy="144780"/>
                      <wp:effectExtent l="19050" t="19050" r="45720" b="6477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548DD4"/>
                              </a:solidFill>
                              <a:ln w="38100">
                                <a:solidFill>
                                  <a:srgbClr val="F2F2F2"/>
                                </a:solidFill>
                                <a:round/>
                                <a:headEnd/>
                                <a:tailEnd/>
                              </a:ln>
                              <a:effectLst>
                                <a:outerShdw dist="28398" dir="3806097" algn="ctr" rotWithShape="0">
                                  <a:srgbClr val="4E6128">
                                    <a:alpha val="50000"/>
                                  </a:srgbClr>
                                </a:outerShdw>
                              </a:effectLst>
                            </wps:spPr>
                            <wps:txbx>
                              <w:txbxContent>
                                <w:p w14:paraId="2F2B31AF" w14:textId="77777777" w:rsidR="007F1AB2" w:rsidRDefault="007F1AB2" w:rsidP="00F87508">
                                  <w:pPr>
                                    <w:jc w:val="center"/>
                                  </w:pPr>
                                </w:p>
                                <w:p w14:paraId="271DC345" w14:textId="77777777" w:rsidR="007F1AB2" w:rsidRDefault="007F1AB2" w:rsidP="00F87508">
                                  <w:pPr>
                                    <w:jc w:val="center"/>
                                  </w:pPr>
                                </w:p>
                                <w:p w14:paraId="3BD8E67D" w14:textId="77777777" w:rsidR="007F1AB2" w:rsidRDefault="007F1AB2" w:rsidP="00F87508">
                                  <w:pPr>
                                    <w:jc w:val="center"/>
                                  </w:pPr>
                                </w:p>
                                <w:p w14:paraId="0B0F1AA3" w14:textId="77777777" w:rsidR="007F1AB2" w:rsidRDefault="007F1AB2" w:rsidP="00F87508">
                                  <w:pPr>
                                    <w:jc w:val="center"/>
                                  </w:pPr>
                                </w:p>
                                <w:p w14:paraId="5D7D8ECB" w14:textId="77777777" w:rsidR="007F1AB2" w:rsidRDefault="007F1AB2" w:rsidP="00F875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B1631" id="Oval 54" o:spid="_x0000_s1026" style="position:absolute;left:0;text-align:left;margin-left:13.1pt;margin-top:4.5pt;width:11.4pt;height:11.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" fillcolor="#548dd4" strokecolor="#f2f2f2" strokeweight="3pt">
                      <v:shadow on="t" color="#4e6128" opacity=".5" offset="1pt"/>
                      <v:textbox>
                        <w:txbxContent>
                          <w:p w14:paraId="2F2B31AF" w14:textId="77777777" w:rsidR="007F1AB2" w:rsidRDefault="007F1AB2" w:rsidP="00F87508">
                            <w:pPr>
                              <w:jc w:val="center"/>
                            </w:pPr>
                          </w:p>
                          <w:p w14:paraId="271DC345" w14:textId="77777777" w:rsidR="007F1AB2" w:rsidRDefault="007F1AB2" w:rsidP="00F87508">
                            <w:pPr>
                              <w:jc w:val="center"/>
                            </w:pPr>
                          </w:p>
                          <w:p w14:paraId="3BD8E67D" w14:textId="77777777" w:rsidR="007F1AB2" w:rsidRDefault="007F1AB2" w:rsidP="00F87508">
                            <w:pPr>
                              <w:jc w:val="center"/>
                            </w:pPr>
                          </w:p>
                          <w:p w14:paraId="0B0F1AA3" w14:textId="77777777" w:rsidR="007F1AB2" w:rsidRDefault="007F1AB2" w:rsidP="00F87508">
                            <w:pPr>
                              <w:jc w:val="center"/>
                            </w:pPr>
                          </w:p>
                          <w:p w14:paraId="5D7D8ECB" w14:textId="77777777" w:rsidR="007F1AB2" w:rsidRDefault="007F1AB2" w:rsidP="00F87508">
                            <w:pPr>
                              <w:jc w:val="center"/>
                            </w:pPr>
                          </w:p>
                        </w:txbxContent>
                      </v:textbox>
                    </v:oval>
                  </w:pict>
                </mc:Fallback>
              </mc:AlternateContent>
            </w:r>
          </w:p>
          <w:p w14:paraId="5171D102"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tc>
        <w:tc>
          <w:tcPr>
            <w:tcW w:w="2266" w:type="pct"/>
            <w:tcBorders>
              <w:bottom w:val="single" w:sz="4" w:space="0" w:color="auto"/>
            </w:tcBorders>
          </w:tcPr>
          <w:p w14:paraId="166C2C5F" w14:textId="77777777" w:rsidR="00F76C32" w:rsidRPr="009163A6" w:rsidRDefault="007D1EE9" w:rsidP="00F76C32">
            <w:pPr>
              <w:keepNext/>
              <w:keepLines/>
              <w:spacing w:before="120"/>
              <w:outlineLvl w:val="3"/>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In June 2018, the ACNC and Consumer Affairs Victoria announced that a streamlined reporting arrangement had been reached for approximately 5,000 charities that are also registered as an incorporated association.</w:t>
            </w:r>
          </w:p>
          <w:p w14:paraId="4EEEE88A" w14:textId="77777777" w:rsidR="007D1EE9" w:rsidRPr="009163A6" w:rsidRDefault="007D1EE9" w:rsidP="00F76C32">
            <w:pPr>
              <w:keepNext/>
              <w:keepLines/>
              <w:spacing w:before="120"/>
              <w:outlineLvl w:val="3"/>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following charities</w:t>
            </w:r>
            <w:r w:rsidR="00F76C32" w:rsidRPr="009163A6">
              <w:rPr>
                <w:rFonts w:asciiTheme="minorHAnsi" w:hAnsiTheme="minorHAnsi" w:cstheme="minorHAnsi"/>
                <w:color w:val="1F497D" w:themeColor="text2"/>
                <w:szCs w:val="22"/>
              </w:rPr>
              <w:t xml:space="preserve"> that report to various state and territory regulators</w:t>
            </w:r>
            <w:r w:rsidRPr="009163A6">
              <w:rPr>
                <w:rFonts w:asciiTheme="minorHAnsi" w:hAnsiTheme="minorHAnsi" w:cstheme="minorHAnsi"/>
                <w:color w:val="1F497D" w:themeColor="text2"/>
                <w:szCs w:val="22"/>
              </w:rPr>
              <w:t xml:space="preserve"> now report once to the ACNC:</w:t>
            </w:r>
          </w:p>
          <w:p w14:paraId="3E5BE088" w14:textId="77777777" w:rsidR="007D1EE9" w:rsidRPr="009163A6" w:rsidRDefault="007D1EE9" w:rsidP="00114AC9">
            <w:pPr>
              <w:pStyle w:val="ListParagraph"/>
              <w:numPr>
                <w:ilvl w:val="0"/>
                <w:numId w:val="16"/>
              </w:numPr>
              <w:spacing w:before="120"/>
              <w:contextualSpacing w:val="0"/>
              <w:jc w:val="left"/>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SA incorporated associations and fundraisers</w:t>
            </w:r>
          </w:p>
          <w:p w14:paraId="65C1988C" w14:textId="77777777" w:rsidR="007D1EE9" w:rsidRPr="009163A6" w:rsidRDefault="007D1EE9" w:rsidP="00114AC9">
            <w:pPr>
              <w:pStyle w:val="ListParagraph"/>
              <w:numPr>
                <w:ilvl w:val="0"/>
                <w:numId w:val="16"/>
              </w:numPr>
              <w:spacing w:before="120"/>
              <w:contextualSpacing w:val="0"/>
              <w:jc w:val="left"/>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ACT incorporated associations and fundraisers</w:t>
            </w:r>
          </w:p>
          <w:p w14:paraId="4F061637" w14:textId="77777777" w:rsidR="007D1EE9" w:rsidRPr="009163A6" w:rsidRDefault="007D1EE9" w:rsidP="00114AC9">
            <w:pPr>
              <w:pStyle w:val="ListParagraph"/>
              <w:numPr>
                <w:ilvl w:val="0"/>
                <w:numId w:val="16"/>
              </w:numPr>
              <w:spacing w:before="120"/>
              <w:contextualSpacing w:val="0"/>
              <w:jc w:val="left"/>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Tasmanian incorporated associations</w:t>
            </w:r>
          </w:p>
          <w:p w14:paraId="378F1047" w14:textId="77777777" w:rsidR="007D1EE9" w:rsidRPr="009163A6" w:rsidRDefault="007D1EE9" w:rsidP="00114AC9">
            <w:pPr>
              <w:pStyle w:val="ListParagraph"/>
              <w:numPr>
                <w:ilvl w:val="0"/>
                <w:numId w:val="16"/>
              </w:numPr>
              <w:spacing w:before="120"/>
              <w:contextualSpacing w:val="0"/>
              <w:jc w:val="left"/>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Victorian incorporated associations.</w:t>
            </w:r>
          </w:p>
          <w:p w14:paraId="06703489" w14:textId="77777777" w:rsidR="00F76C32" w:rsidRPr="009163A6" w:rsidRDefault="00F76C32" w:rsidP="00F76C32">
            <w:pPr>
              <w:keepNext/>
              <w:keepLines/>
              <w:spacing w:before="120"/>
              <w:outlineLvl w:val="3"/>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lastRenderedPageBreak/>
              <w:t>The ACNC has implemented various streamlined reporting arrangements with Commonwealth agencies to minimise the reporting burden of registered charities:</w:t>
            </w:r>
          </w:p>
          <w:p w14:paraId="199C1CDA" w14:textId="77777777" w:rsidR="00F76C32" w:rsidRPr="009163A6" w:rsidRDefault="00F76C32" w:rsidP="00114AC9">
            <w:pPr>
              <w:pStyle w:val="ListParagraph"/>
              <w:keepNext/>
              <w:keepLines/>
              <w:numPr>
                <w:ilvl w:val="0"/>
                <w:numId w:val="17"/>
              </w:numPr>
              <w:spacing w:before="120"/>
              <w:contextualSpacing w:val="0"/>
              <w:outlineLvl w:val="3"/>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 xml:space="preserve">Charities regulated by the Office of the Registrar of Indigenous Corporations (ORIC) are not required to report separately to the ACNC; the ACNC obtains relevant reports from ORIC. </w:t>
            </w:r>
          </w:p>
          <w:p w14:paraId="150B89B3" w14:textId="77777777" w:rsidR="00F76C32" w:rsidRPr="009163A6" w:rsidRDefault="00F76C32" w:rsidP="00114AC9">
            <w:pPr>
              <w:pStyle w:val="ListParagraph"/>
              <w:keepNext/>
              <w:keepLines/>
              <w:numPr>
                <w:ilvl w:val="0"/>
                <w:numId w:val="17"/>
              </w:numPr>
              <w:spacing w:before="120"/>
              <w:contextualSpacing w:val="0"/>
              <w:outlineLvl w:val="3"/>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Charities that also report to the Commonwealth Department of Education and Training (DET) can take part in streamlined reporting arrangements, with DET collecting information on the ACNC’s behalf (further information is available at</w:t>
            </w:r>
            <w:r w:rsidR="00736D5F">
              <w:rPr>
                <w:rFonts w:asciiTheme="minorHAnsi" w:eastAsiaTheme="minorHAnsi" w:hAnsiTheme="minorHAnsi" w:cstheme="minorHAnsi"/>
                <w:color w:val="1F497D" w:themeColor="text2"/>
              </w:rPr>
              <w:t xml:space="preserve"> </w:t>
            </w:r>
            <w:hyperlink r:id="rId72" w:history="1">
              <w:r w:rsidR="00736D5F" w:rsidRPr="00736D5F">
                <w:rPr>
                  <w:rStyle w:val="Hyperlink"/>
                  <w:rFonts w:asciiTheme="minorHAnsi" w:eastAsiaTheme="minorHAnsi" w:hAnsiTheme="minorHAnsi" w:cstheme="minorHAnsi"/>
                </w:rPr>
                <w:t>acnc.gov.au/nongovschools</w:t>
              </w:r>
            </w:hyperlink>
            <w:r w:rsidR="00736D5F">
              <w:rPr>
                <w:rFonts w:asciiTheme="minorHAnsi" w:eastAsiaTheme="minorHAnsi" w:hAnsiTheme="minorHAnsi" w:cstheme="minorHAnsi"/>
                <w:color w:val="1F497D" w:themeColor="text2"/>
              </w:rPr>
              <w:t>.</w:t>
            </w:r>
            <w:r w:rsidRPr="009163A6">
              <w:rPr>
                <w:rFonts w:asciiTheme="minorHAnsi" w:eastAsiaTheme="minorHAnsi" w:hAnsiTheme="minorHAnsi" w:cstheme="minorHAnsi"/>
                <w:color w:val="1F497D" w:themeColor="text2"/>
              </w:rPr>
              <w:t xml:space="preserve">) </w:t>
            </w:r>
          </w:p>
          <w:p w14:paraId="76AE5BD6" w14:textId="77777777" w:rsidR="00F76C32" w:rsidRPr="009163A6" w:rsidRDefault="00F76C32" w:rsidP="00114AC9">
            <w:pPr>
              <w:pStyle w:val="ListParagraph"/>
              <w:keepNext/>
              <w:keepLines/>
              <w:numPr>
                <w:ilvl w:val="0"/>
                <w:numId w:val="17"/>
              </w:numPr>
              <w:spacing w:before="120"/>
              <w:contextualSpacing w:val="0"/>
              <w:outlineLvl w:val="3"/>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Charitable ancillary funds that</w:t>
            </w:r>
            <w:r w:rsidR="00CF00E6" w:rsidRPr="009163A6">
              <w:rPr>
                <w:rFonts w:asciiTheme="minorHAnsi" w:eastAsiaTheme="minorHAnsi" w:hAnsiTheme="minorHAnsi" w:cstheme="minorHAnsi"/>
                <w:color w:val="1F497D" w:themeColor="text2"/>
              </w:rPr>
              <w:t xml:space="preserve"> also</w:t>
            </w:r>
            <w:r w:rsidRPr="009163A6">
              <w:rPr>
                <w:rFonts w:asciiTheme="minorHAnsi" w:eastAsiaTheme="minorHAnsi" w:hAnsiTheme="minorHAnsi" w:cstheme="minorHAnsi"/>
                <w:color w:val="1F497D" w:themeColor="text2"/>
              </w:rPr>
              <w:t xml:space="preserve"> report to </w:t>
            </w:r>
            <w:r w:rsidR="00892F8E" w:rsidRPr="009163A6">
              <w:rPr>
                <w:rFonts w:asciiTheme="minorHAnsi" w:eastAsiaTheme="minorHAnsi" w:hAnsiTheme="minorHAnsi" w:cstheme="minorHAnsi"/>
                <w:color w:val="1F497D" w:themeColor="text2"/>
              </w:rPr>
              <w:t xml:space="preserve">Australian Taxation Office </w:t>
            </w:r>
            <w:r w:rsidRPr="009163A6">
              <w:rPr>
                <w:rFonts w:asciiTheme="minorHAnsi" w:eastAsiaTheme="minorHAnsi" w:hAnsiTheme="minorHAnsi" w:cstheme="minorHAnsi"/>
                <w:color w:val="1F497D" w:themeColor="text2"/>
              </w:rPr>
              <w:t>now report directly to the ACNC - we then provide information to the Australian Taxation Office</w:t>
            </w:r>
            <w:r w:rsidR="00892F8E" w:rsidRPr="009163A6">
              <w:rPr>
                <w:rFonts w:asciiTheme="minorHAnsi" w:eastAsiaTheme="minorHAnsi" w:hAnsiTheme="minorHAnsi" w:cstheme="minorHAnsi"/>
                <w:color w:val="1F497D" w:themeColor="text2"/>
              </w:rPr>
              <w:t xml:space="preserve"> (ATO)</w:t>
            </w:r>
            <w:r w:rsidRPr="009163A6">
              <w:rPr>
                <w:rFonts w:asciiTheme="minorHAnsi" w:eastAsiaTheme="minorHAnsi" w:hAnsiTheme="minorHAnsi" w:cstheme="minorHAnsi"/>
                <w:color w:val="1F497D" w:themeColor="text2"/>
              </w:rPr>
              <w:t xml:space="preserve">. </w:t>
            </w:r>
          </w:p>
          <w:p w14:paraId="1A060958" w14:textId="48157449" w:rsidR="002E196A" w:rsidRPr="009163A6" w:rsidRDefault="00F76C32" w:rsidP="00F76C32">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We continue to make good progress in streamlin</w:t>
            </w:r>
            <w:r w:rsidR="00983F91" w:rsidRPr="009163A6">
              <w:rPr>
                <w:rFonts w:asciiTheme="minorHAnsi" w:hAnsiTheme="minorHAnsi" w:cstheme="minorHAnsi"/>
                <w:color w:val="1F497D" w:themeColor="text2"/>
                <w:szCs w:val="22"/>
              </w:rPr>
              <w:t>ing</w:t>
            </w:r>
            <w:r w:rsidRPr="009163A6">
              <w:rPr>
                <w:rFonts w:asciiTheme="minorHAnsi" w:hAnsiTheme="minorHAnsi" w:cstheme="minorHAnsi"/>
                <w:color w:val="1F497D" w:themeColor="text2"/>
                <w:szCs w:val="22"/>
              </w:rPr>
              <w:t xml:space="preserve"> reporting processes. However, we are </w:t>
            </w:r>
            <w:r w:rsidR="004141E0" w:rsidRPr="009163A6">
              <w:rPr>
                <w:rFonts w:asciiTheme="minorHAnsi" w:hAnsiTheme="minorHAnsi" w:cstheme="minorHAnsi"/>
                <w:color w:val="1F497D" w:themeColor="text2"/>
                <w:szCs w:val="22"/>
              </w:rPr>
              <w:t xml:space="preserve">acutely </w:t>
            </w:r>
            <w:r w:rsidRPr="009163A6">
              <w:rPr>
                <w:rFonts w:asciiTheme="minorHAnsi" w:hAnsiTheme="minorHAnsi" w:cstheme="minorHAnsi"/>
                <w:color w:val="1F497D" w:themeColor="text2"/>
                <w:szCs w:val="22"/>
              </w:rPr>
              <w:t xml:space="preserve">aware that there is still more to be done in this area, and we will continue to work closely with state, territory and commonwealth agencies to implement streamlined reporting </w:t>
            </w:r>
            <w:r w:rsidR="00736D5F">
              <w:rPr>
                <w:rFonts w:asciiTheme="minorHAnsi" w:hAnsiTheme="minorHAnsi" w:cstheme="minorHAnsi"/>
                <w:color w:val="1F497D" w:themeColor="text2"/>
                <w:szCs w:val="22"/>
              </w:rPr>
              <w:t>agreements</w:t>
            </w:r>
            <w:r w:rsidRPr="009163A6">
              <w:rPr>
                <w:rFonts w:asciiTheme="minorHAnsi" w:hAnsiTheme="minorHAnsi" w:cstheme="minorHAnsi"/>
                <w:color w:val="1F497D" w:themeColor="text2"/>
                <w:szCs w:val="22"/>
              </w:rPr>
              <w:t>.</w:t>
            </w:r>
          </w:p>
        </w:tc>
      </w:tr>
      <w:tr w:rsidR="002E196A" w:rsidRPr="009163A6" w14:paraId="0B372119" w14:textId="77777777" w:rsidTr="00EC0921">
        <w:trPr>
          <w:trHeight w:val="984"/>
        </w:trPr>
        <w:tc>
          <w:tcPr>
            <w:tcW w:w="100" w:type="pct"/>
            <w:vMerge w:val="restart"/>
            <w:shd w:val="clear" w:color="auto" w:fill="D9D9D9" w:themeFill="background1" w:themeFillShade="D9"/>
            <w:vAlign w:val="center"/>
          </w:tcPr>
          <w:p w14:paraId="68E0C952" w14:textId="77777777" w:rsidR="002E196A" w:rsidRPr="009163A6" w:rsidRDefault="002E196A" w:rsidP="00114AC9">
            <w:pPr>
              <w:spacing w:before="240" w:after="0"/>
              <w:jc w:val="center"/>
              <w:rPr>
                <w:rFonts w:asciiTheme="minorHAnsi" w:hAnsiTheme="minorHAnsi" w:cstheme="minorHAnsi"/>
                <w:b/>
                <w:szCs w:val="22"/>
              </w:rPr>
            </w:pPr>
            <w:r w:rsidRPr="009163A6">
              <w:rPr>
                <w:rFonts w:asciiTheme="minorHAnsi" w:hAnsiTheme="minorHAnsi" w:cstheme="minorHAnsi"/>
                <w:b/>
                <w:szCs w:val="22"/>
              </w:rPr>
              <w:lastRenderedPageBreak/>
              <w:t>B</w:t>
            </w:r>
          </w:p>
          <w:p w14:paraId="1298409C" w14:textId="77777777" w:rsidR="002E196A" w:rsidRPr="009163A6" w:rsidRDefault="002E196A" w:rsidP="00114AC9">
            <w:pPr>
              <w:spacing w:before="240" w:after="0"/>
              <w:jc w:val="center"/>
              <w:rPr>
                <w:rFonts w:asciiTheme="minorHAnsi" w:hAnsiTheme="minorHAnsi" w:cstheme="minorHAnsi"/>
                <w:b/>
                <w:szCs w:val="22"/>
              </w:rPr>
            </w:pPr>
          </w:p>
        </w:tc>
        <w:tc>
          <w:tcPr>
            <w:tcW w:w="600" w:type="pct"/>
            <w:vMerge w:val="restart"/>
            <w:vAlign w:val="center"/>
          </w:tcPr>
          <w:p w14:paraId="75F350C6" w14:textId="77777777" w:rsidR="002E196A" w:rsidRPr="009163A6" w:rsidRDefault="002E196A" w:rsidP="00F87508">
            <w:pPr>
              <w:spacing w:before="120"/>
              <w:rPr>
                <w:rFonts w:asciiTheme="minorHAnsi" w:hAnsiTheme="minorHAnsi" w:cstheme="minorHAnsi"/>
                <w:szCs w:val="22"/>
              </w:rPr>
            </w:pPr>
            <w:r w:rsidRPr="009163A6">
              <w:rPr>
                <w:rFonts w:asciiTheme="minorHAnsi" w:hAnsiTheme="minorHAnsi" w:cstheme="minorHAnsi"/>
                <w:szCs w:val="22"/>
              </w:rPr>
              <w:t>Regulators utilise existing information to limit the reliance on requests from regulated entities and share the information among other regulators, where possible.</w:t>
            </w:r>
          </w:p>
        </w:tc>
        <w:tc>
          <w:tcPr>
            <w:tcW w:w="167" w:type="pct"/>
            <w:shd w:val="clear" w:color="auto" w:fill="D9D9D9" w:themeFill="background1" w:themeFillShade="D9"/>
            <w:vAlign w:val="center"/>
          </w:tcPr>
          <w:p w14:paraId="126EAD4D" w14:textId="77777777" w:rsidR="002E196A" w:rsidRPr="009163A6" w:rsidRDefault="002E196A" w:rsidP="00F87508">
            <w:pPr>
              <w:spacing w:before="120"/>
              <w:jc w:val="center"/>
              <w:rPr>
                <w:rFonts w:asciiTheme="minorHAnsi" w:hAnsiTheme="minorHAnsi" w:cstheme="minorHAnsi"/>
                <w:b/>
                <w:szCs w:val="22"/>
              </w:rPr>
            </w:pPr>
            <w:r w:rsidRPr="009163A6">
              <w:rPr>
                <w:rFonts w:asciiTheme="minorHAnsi" w:hAnsiTheme="minorHAnsi" w:cstheme="minorHAnsi"/>
                <w:b/>
                <w:szCs w:val="22"/>
              </w:rPr>
              <w:t>4.5</w:t>
            </w:r>
          </w:p>
        </w:tc>
        <w:tc>
          <w:tcPr>
            <w:tcW w:w="705" w:type="pct"/>
            <w:shd w:val="clear" w:color="auto" w:fill="auto"/>
            <w:vAlign w:val="center"/>
          </w:tcPr>
          <w:p w14:paraId="3AFB0FB5" w14:textId="77777777" w:rsidR="002E196A" w:rsidRPr="009163A6" w:rsidRDefault="002E196A" w:rsidP="00F87508">
            <w:pPr>
              <w:spacing w:before="120"/>
              <w:rPr>
                <w:rFonts w:asciiTheme="minorHAnsi" w:hAnsiTheme="minorHAnsi" w:cstheme="minorHAnsi"/>
                <w:b/>
                <w:szCs w:val="22"/>
              </w:rPr>
            </w:pPr>
            <w:r w:rsidRPr="009163A6">
              <w:rPr>
                <w:rFonts w:asciiTheme="minorHAnsi" w:hAnsiTheme="minorHAnsi" w:cstheme="minorHAnsi"/>
                <w:b/>
                <w:szCs w:val="22"/>
              </w:rPr>
              <w:t>Charity Passport developed and maintained so that central charity data is available to government regulators to reduce regulatory burden</w:t>
            </w:r>
          </w:p>
        </w:tc>
        <w:tc>
          <w:tcPr>
            <w:tcW w:w="928" w:type="pct"/>
            <w:shd w:val="clear" w:color="auto" w:fill="auto"/>
            <w:vAlign w:val="center"/>
          </w:tcPr>
          <w:p w14:paraId="4C965717" w14:textId="77777777" w:rsidR="002E196A" w:rsidRPr="009163A6" w:rsidRDefault="002E196A" w:rsidP="00F87508">
            <w:pPr>
              <w:spacing w:before="120"/>
              <w:rPr>
                <w:rFonts w:asciiTheme="minorHAnsi" w:hAnsiTheme="minorHAnsi" w:cstheme="minorHAnsi"/>
                <w:b/>
                <w:szCs w:val="22"/>
              </w:rPr>
            </w:pPr>
          </w:p>
          <w:p w14:paraId="3E97DA02" w14:textId="77777777" w:rsidR="002E196A" w:rsidRPr="009163A6" w:rsidRDefault="002E196A" w:rsidP="00F87508">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ACNC Charity Passport was available to authorised government officials throughout 201</w:t>
            </w:r>
            <w:r w:rsidR="00F76C32" w:rsidRPr="009163A6">
              <w:rPr>
                <w:rFonts w:asciiTheme="minorHAnsi" w:hAnsiTheme="minorHAnsi" w:cstheme="minorHAnsi"/>
                <w:color w:val="1F497D" w:themeColor="text2"/>
                <w:szCs w:val="22"/>
              </w:rPr>
              <w:t>7</w:t>
            </w:r>
            <w:r w:rsidRPr="009163A6">
              <w:rPr>
                <w:rFonts w:asciiTheme="minorHAnsi" w:hAnsiTheme="minorHAnsi" w:cstheme="minorHAnsi"/>
                <w:color w:val="1F497D" w:themeColor="text2"/>
                <w:szCs w:val="22"/>
              </w:rPr>
              <w:t>-1</w:t>
            </w:r>
            <w:r w:rsidR="00F76C32" w:rsidRPr="009163A6">
              <w:rPr>
                <w:rFonts w:asciiTheme="minorHAnsi" w:hAnsiTheme="minorHAnsi" w:cstheme="minorHAnsi"/>
                <w:color w:val="1F497D" w:themeColor="text2"/>
                <w:szCs w:val="22"/>
              </w:rPr>
              <w:t>8</w:t>
            </w:r>
            <w:r w:rsidRPr="009163A6">
              <w:rPr>
                <w:rFonts w:asciiTheme="minorHAnsi" w:hAnsiTheme="minorHAnsi" w:cstheme="minorHAnsi"/>
                <w:color w:val="1F497D" w:themeColor="text2"/>
                <w:szCs w:val="22"/>
              </w:rPr>
              <w:t>.</w:t>
            </w:r>
          </w:p>
          <w:p w14:paraId="62935198" w14:textId="77777777" w:rsidR="002E196A" w:rsidRPr="009163A6" w:rsidRDefault="002E196A" w:rsidP="00F87508">
            <w:pPr>
              <w:spacing w:before="120"/>
              <w:rPr>
                <w:rFonts w:asciiTheme="minorHAnsi" w:hAnsiTheme="minorHAnsi" w:cstheme="minorHAnsi"/>
                <w:szCs w:val="22"/>
                <w:highlight w:val="yellow"/>
              </w:rPr>
            </w:pPr>
          </w:p>
        </w:tc>
        <w:tc>
          <w:tcPr>
            <w:tcW w:w="234" w:type="pct"/>
            <w:shd w:val="clear" w:color="auto" w:fill="auto"/>
          </w:tcPr>
          <w:p w14:paraId="48AE3060" w14:textId="77777777" w:rsidR="00F87508" w:rsidRPr="009163A6" w:rsidRDefault="00F87508" w:rsidP="00F87508">
            <w:pPr>
              <w:spacing w:before="120"/>
              <w:jc w:val="center"/>
              <w:rPr>
                <w:rFonts w:asciiTheme="minorHAnsi" w:hAnsiTheme="minorHAnsi" w:cstheme="minorHAnsi"/>
                <w:noProof/>
                <w:color w:val="1F497D" w:themeColor="text2"/>
                <w:szCs w:val="22"/>
                <w:lang w:eastAsia="en-AU"/>
              </w:rPr>
            </w:pPr>
          </w:p>
          <w:p w14:paraId="5D82ABE3" w14:textId="77777777" w:rsidR="002E196A" w:rsidRPr="009163A6" w:rsidRDefault="002E196A" w:rsidP="00F87508">
            <w:pPr>
              <w:spacing w:before="12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3E470C50" wp14:editId="46B02BB5">
                  <wp:extent cx="201295" cy="21336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6" w:type="pct"/>
            <w:shd w:val="clear" w:color="auto" w:fill="auto"/>
          </w:tcPr>
          <w:p w14:paraId="79091B92" w14:textId="77777777" w:rsidR="00F76C32" w:rsidRPr="009163A6" w:rsidRDefault="00F76C32" w:rsidP="00F87508">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The Charity Passport allows authorised government agencies to electronically access a range of information on ACNC registered charities, including a charity’s finances, activities and contact details. It is the core of the ACNC’s ‘report once, use often’ reporting framework, which aims to reduce duplicated reporting across government. </w:t>
            </w:r>
          </w:p>
          <w:p w14:paraId="6D73B6C2" w14:textId="77777777" w:rsidR="002E196A" w:rsidRPr="009163A6" w:rsidRDefault="00F76C32" w:rsidP="00F87508">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There were 21 government agencies using the Charity Passport as at 30 June 2018 (a 5 per cent increase compared to 30 June 2017, and a 31 per cent increase compared to 30 June 2016).</w:t>
            </w:r>
          </w:p>
        </w:tc>
      </w:tr>
      <w:tr w:rsidR="002E196A" w:rsidRPr="009163A6" w14:paraId="6B240D3C" w14:textId="77777777" w:rsidTr="00EC0921">
        <w:trPr>
          <w:trHeight w:val="550"/>
        </w:trPr>
        <w:tc>
          <w:tcPr>
            <w:tcW w:w="100" w:type="pct"/>
            <w:vMerge/>
            <w:tcBorders>
              <w:bottom w:val="single" w:sz="4" w:space="0" w:color="auto"/>
            </w:tcBorders>
            <w:shd w:val="clear" w:color="auto" w:fill="D9D9D9" w:themeFill="background1" w:themeFillShade="D9"/>
            <w:vAlign w:val="center"/>
          </w:tcPr>
          <w:p w14:paraId="5CFD6FDB" w14:textId="77777777" w:rsidR="002E196A" w:rsidRPr="009163A6" w:rsidRDefault="002E196A" w:rsidP="00114AC9">
            <w:pPr>
              <w:spacing w:before="240" w:after="0"/>
              <w:jc w:val="center"/>
              <w:rPr>
                <w:rFonts w:asciiTheme="minorHAnsi" w:hAnsiTheme="minorHAnsi" w:cstheme="minorHAnsi"/>
                <w:b/>
                <w:szCs w:val="22"/>
              </w:rPr>
            </w:pPr>
          </w:p>
        </w:tc>
        <w:tc>
          <w:tcPr>
            <w:tcW w:w="600" w:type="pct"/>
            <w:vMerge/>
            <w:tcBorders>
              <w:bottom w:val="single" w:sz="4" w:space="0" w:color="auto"/>
            </w:tcBorders>
            <w:vAlign w:val="center"/>
          </w:tcPr>
          <w:p w14:paraId="01B9121C" w14:textId="77777777" w:rsidR="002E196A" w:rsidRPr="009163A6" w:rsidRDefault="002E196A" w:rsidP="00114AC9">
            <w:pPr>
              <w:spacing w:before="240" w:after="0"/>
              <w:rPr>
                <w:rFonts w:asciiTheme="minorHAnsi" w:hAnsiTheme="minorHAnsi" w:cstheme="minorHAnsi"/>
                <w:szCs w:val="22"/>
              </w:rPr>
            </w:pPr>
          </w:p>
        </w:tc>
        <w:tc>
          <w:tcPr>
            <w:tcW w:w="167" w:type="pct"/>
            <w:shd w:val="clear" w:color="auto" w:fill="D9D9D9" w:themeFill="background1" w:themeFillShade="D9"/>
            <w:vAlign w:val="center"/>
          </w:tcPr>
          <w:p w14:paraId="33F85EB7" w14:textId="77777777" w:rsidR="002E196A" w:rsidRPr="009163A6" w:rsidRDefault="002E196A" w:rsidP="00114AC9">
            <w:pPr>
              <w:spacing w:before="240" w:after="0"/>
              <w:jc w:val="center"/>
              <w:rPr>
                <w:rFonts w:asciiTheme="minorHAnsi" w:hAnsiTheme="minorHAnsi" w:cstheme="minorHAnsi"/>
                <w:b/>
                <w:szCs w:val="22"/>
              </w:rPr>
            </w:pPr>
            <w:r w:rsidRPr="009163A6">
              <w:rPr>
                <w:rFonts w:asciiTheme="minorHAnsi" w:hAnsiTheme="minorHAnsi" w:cstheme="minorHAnsi"/>
                <w:b/>
                <w:szCs w:val="22"/>
              </w:rPr>
              <w:t>4.6</w:t>
            </w:r>
          </w:p>
        </w:tc>
        <w:tc>
          <w:tcPr>
            <w:tcW w:w="705" w:type="pct"/>
            <w:tcBorders>
              <w:bottom w:val="single" w:sz="4" w:space="0" w:color="auto"/>
            </w:tcBorders>
            <w:shd w:val="clear" w:color="auto" w:fill="auto"/>
            <w:vAlign w:val="center"/>
          </w:tcPr>
          <w:p w14:paraId="5A566235" w14:textId="77777777" w:rsidR="002E196A" w:rsidRPr="009163A6" w:rsidRDefault="002E196A" w:rsidP="00114AC9">
            <w:pPr>
              <w:spacing w:before="240" w:after="0"/>
              <w:rPr>
                <w:rFonts w:asciiTheme="minorHAnsi" w:hAnsiTheme="minorHAnsi" w:cstheme="minorHAnsi"/>
                <w:b/>
                <w:szCs w:val="22"/>
              </w:rPr>
            </w:pPr>
            <w:r w:rsidRPr="009163A6">
              <w:rPr>
                <w:rFonts w:asciiTheme="minorHAnsi" w:hAnsiTheme="minorHAnsi" w:cstheme="minorHAnsi"/>
                <w:b/>
                <w:szCs w:val="22"/>
              </w:rPr>
              <w:t>Compliance officers share information with and make referrals to other regulators where appropriate</w:t>
            </w:r>
          </w:p>
        </w:tc>
        <w:tc>
          <w:tcPr>
            <w:tcW w:w="928" w:type="pct"/>
            <w:shd w:val="clear" w:color="auto" w:fill="auto"/>
            <w:vAlign w:val="center"/>
          </w:tcPr>
          <w:p w14:paraId="3F025FEC" w14:textId="77777777" w:rsidR="002E196A" w:rsidRPr="009163A6" w:rsidRDefault="00F76C32" w:rsidP="00114AC9">
            <w:pPr>
              <w:spacing w:before="240" w:after="0"/>
              <w:rPr>
                <w:rFonts w:asciiTheme="minorHAnsi" w:hAnsiTheme="minorHAnsi" w:cstheme="minorHAnsi"/>
                <w:szCs w:val="22"/>
                <w:highlight w:val="yellow"/>
                <w:lang w:val="en-GB"/>
              </w:rPr>
            </w:pPr>
            <w:r w:rsidRPr="009163A6">
              <w:rPr>
                <w:rFonts w:asciiTheme="minorHAnsi" w:hAnsiTheme="minorHAnsi" w:cstheme="minorHAnsi"/>
                <w:color w:val="1F497D" w:themeColor="text2"/>
                <w:szCs w:val="22"/>
                <w:lang w:val="en-GB"/>
              </w:rPr>
              <w:t>Referrals to other government agencies</w:t>
            </w:r>
          </w:p>
        </w:tc>
        <w:tc>
          <w:tcPr>
            <w:tcW w:w="234" w:type="pct"/>
            <w:shd w:val="clear" w:color="auto" w:fill="auto"/>
          </w:tcPr>
          <w:p w14:paraId="5926C450" w14:textId="77777777" w:rsidR="002E196A" w:rsidRPr="009163A6" w:rsidRDefault="002E196A" w:rsidP="00114AC9">
            <w:pPr>
              <w:spacing w:before="240" w:after="0"/>
              <w:jc w:val="center"/>
              <w:rPr>
                <w:rFonts w:asciiTheme="minorHAnsi" w:hAnsiTheme="minorHAnsi" w:cstheme="minorHAnsi"/>
                <w:noProof/>
                <w:color w:val="1F497D" w:themeColor="text2"/>
                <w:szCs w:val="22"/>
                <w:highlight w:val="yellow"/>
                <w:lang w:eastAsia="en-AU"/>
              </w:rPr>
            </w:pPr>
          </w:p>
          <w:p w14:paraId="3F461A43" w14:textId="77777777" w:rsidR="00F87508" w:rsidRPr="009163A6" w:rsidRDefault="00F87508" w:rsidP="00114AC9">
            <w:pPr>
              <w:spacing w:before="240" w:after="0"/>
              <w:jc w:val="center"/>
              <w:rPr>
                <w:rFonts w:asciiTheme="minorHAnsi" w:hAnsiTheme="minorHAnsi" w:cstheme="minorHAnsi"/>
                <w:noProof/>
                <w:color w:val="1F497D" w:themeColor="text2"/>
                <w:szCs w:val="22"/>
                <w:highlight w:val="yellow"/>
                <w:lang w:eastAsia="en-AU"/>
              </w:rPr>
            </w:pPr>
          </w:p>
          <w:p w14:paraId="7F6A5713" w14:textId="77777777" w:rsidR="00F87508" w:rsidRPr="009163A6" w:rsidRDefault="00F87508" w:rsidP="00114AC9">
            <w:pPr>
              <w:spacing w:before="240" w:after="0"/>
              <w:jc w:val="center"/>
              <w:rPr>
                <w:rFonts w:asciiTheme="minorHAnsi" w:hAnsiTheme="minorHAnsi" w:cstheme="minorHAnsi"/>
                <w:noProof/>
                <w:color w:val="1F497D" w:themeColor="text2"/>
                <w:szCs w:val="22"/>
                <w:highlight w:val="yellow"/>
                <w:lang w:eastAsia="en-AU"/>
              </w:rPr>
            </w:pPr>
          </w:p>
          <w:p w14:paraId="2D9B72D5" w14:textId="77777777" w:rsidR="00F87508" w:rsidRPr="009163A6" w:rsidRDefault="00F87508" w:rsidP="00114AC9">
            <w:pPr>
              <w:spacing w:before="240" w:after="0"/>
              <w:jc w:val="center"/>
              <w:rPr>
                <w:rFonts w:asciiTheme="minorHAnsi" w:hAnsiTheme="minorHAnsi" w:cstheme="minorHAnsi"/>
                <w:noProof/>
                <w:color w:val="1F497D" w:themeColor="text2"/>
                <w:szCs w:val="22"/>
                <w:highlight w:val="yellow"/>
                <w:lang w:eastAsia="en-AU"/>
              </w:rPr>
            </w:pPr>
          </w:p>
          <w:p w14:paraId="3F9123D4" w14:textId="77777777" w:rsidR="002E196A" w:rsidRPr="009163A6" w:rsidRDefault="002E196A" w:rsidP="00114AC9">
            <w:pPr>
              <w:spacing w:before="240"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6F89A601" wp14:editId="0EB259BF">
                  <wp:extent cx="201295" cy="213360"/>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6" w:type="pct"/>
            <w:shd w:val="clear" w:color="auto" w:fill="auto"/>
          </w:tcPr>
          <w:p w14:paraId="3E185CAC" w14:textId="77777777" w:rsidR="00E31886" w:rsidRPr="009163A6" w:rsidRDefault="00E31886" w:rsidP="008963E0">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In 2017-18 we received 167 referrals from other government agencies and made 137 referrals to other government agencies where we considered the matter may have also fallen within their jurisdiction.</w:t>
            </w:r>
          </w:p>
          <w:p w14:paraId="47A81876" w14:textId="7914101D" w:rsidR="009E6DE6" w:rsidRPr="009163A6" w:rsidRDefault="00E71D9C" w:rsidP="00D65DF6">
            <w:pPr>
              <w:spacing w:before="120"/>
              <w:rPr>
                <w:rFonts w:asciiTheme="minorHAnsi" w:hAnsiTheme="minorHAnsi" w:cstheme="minorHAnsi"/>
                <w:color w:val="1F497D" w:themeColor="text2"/>
                <w:szCs w:val="22"/>
                <w:lang w:eastAsia="en-AU"/>
              </w:rPr>
            </w:pPr>
            <w:r w:rsidRPr="009163A6">
              <w:rPr>
                <w:rFonts w:asciiTheme="minorHAnsi" w:hAnsiTheme="minorHAnsi" w:cstheme="minorHAnsi"/>
                <w:color w:val="1F497D" w:themeColor="text2"/>
                <w:szCs w:val="22"/>
                <w:lang w:eastAsia="en-AU"/>
              </w:rPr>
              <w:t>The ACNC</w:t>
            </w:r>
            <w:r w:rsidR="009E6DE6" w:rsidRPr="009163A6">
              <w:rPr>
                <w:rFonts w:asciiTheme="minorHAnsi" w:hAnsiTheme="minorHAnsi" w:cstheme="minorHAnsi"/>
                <w:color w:val="1F497D" w:themeColor="text2"/>
                <w:szCs w:val="22"/>
                <w:lang w:eastAsia="en-AU"/>
              </w:rPr>
              <w:t xml:space="preserve"> chairs a Not-for-profit Risk Working Group.  The group consists of representatives from </w:t>
            </w:r>
            <w:r w:rsidR="00736D5F">
              <w:rPr>
                <w:rFonts w:asciiTheme="minorHAnsi" w:hAnsiTheme="minorHAnsi" w:cstheme="minorHAnsi"/>
                <w:color w:val="1F497D" w:themeColor="text2"/>
                <w:szCs w:val="22"/>
                <w:lang w:eastAsia="en-AU"/>
              </w:rPr>
              <w:t xml:space="preserve">–the </w:t>
            </w:r>
            <w:r w:rsidR="009E6DE6" w:rsidRPr="009163A6">
              <w:rPr>
                <w:rFonts w:asciiTheme="minorHAnsi" w:hAnsiTheme="minorHAnsi" w:cstheme="minorHAnsi"/>
                <w:color w:val="1F497D" w:themeColor="text2"/>
                <w:szCs w:val="22"/>
                <w:lang w:eastAsia="en-AU"/>
              </w:rPr>
              <w:t xml:space="preserve">ACNC, AUSTRAC, AFP, ACIC and ATO, and has been set up to ensure that the risks identified in </w:t>
            </w:r>
            <w:r w:rsidR="009E6DE6" w:rsidRPr="009163A6">
              <w:rPr>
                <w:rFonts w:asciiTheme="minorHAnsi" w:hAnsiTheme="minorHAnsi" w:cstheme="minorHAnsi"/>
                <w:i/>
                <w:color w:val="1F497D" w:themeColor="text2"/>
                <w:szCs w:val="22"/>
                <w:lang w:eastAsia="en-AU"/>
              </w:rPr>
              <w:t>Australia’s Non</w:t>
            </w:r>
            <w:r w:rsidR="00F61D5A">
              <w:rPr>
                <w:rFonts w:asciiTheme="minorHAnsi" w:hAnsiTheme="minorHAnsi" w:cstheme="minorHAnsi"/>
                <w:i/>
                <w:color w:val="1F497D" w:themeColor="text2"/>
                <w:szCs w:val="22"/>
                <w:lang w:eastAsia="en-AU"/>
              </w:rPr>
              <w:t>-</w:t>
            </w:r>
            <w:r w:rsidR="009E6DE6" w:rsidRPr="009163A6">
              <w:rPr>
                <w:rFonts w:asciiTheme="minorHAnsi" w:hAnsiTheme="minorHAnsi" w:cstheme="minorHAnsi"/>
                <w:i/>
                <w:color w:val="1F497D" w:themeColor="text2"/>
                <w:szCs w:val="22"/>
                <w:lang w:eastAsia="en-AU"/>
              </w:rPr>
              <w:t>profit Organisation Sector: Money laundering and terrorism financing risk assessment</w:t>
            </w:r>
            <w:r w:rsidR="009E6DE6" w:rsidRPr="009163A6">
              <w:rPr>
                <w:rFonts w:asciiTheme="minorHAnsi" w:hAnsiTheme="minorHAnsi" w:cstheme="minorHAnsi"/>
                <w:color w:val="1F497D" w:themeColor="text2"/>
                <w:szCs w:val="22"/>
                <w:lang w:eastAsia="en-AU"/>
              </w:rPr>
              <w:t xml:space="preserve"> are addressed.</w:t>
            </w:r>
          </w:p>
          <w:p w14:paraId="16BF48E0" w14:textId="77777777" w:rsidR="009E6DE6" w:rsidRPr="009163A6" w:rsidRDefault="009E6DE6" w:rsidP="008963E0">
            <w:pPr>
              <w:pStyle w:val="Heading4"/>
              <w:spacing w:after="120"/>
              <w:outlineLvl w:val="3"/>
              <w:rPr>
                <w:rFonts w:asciiTheme="minorHAnsi" w:hAnsiTheme="minorHAnsi" w:cstheme="minorHAnsi"/>
                <w:b w:val="0"/>
                <w:bCs w:val="0"/>
                <w:i w:val="0"/>
                <w:iCs w:val="0"/>
                <w:color w:val="1F497D" w:themeColor="text2"/>
                <w:lang w:val="en-GB"/>
              </w:rPr>
            </w:pPr>
            <w:r w:rsidRPr="009163A6">
              <w:rPr>
                <w:rFonts w:asciiTheme="minorHAnsi" w:hAnsiTheme="minorHAnsi" w:cstheme="minorHAnsi"/>
                <w:b w:val="0"/>
                <w:bCs w:val="0"/>
                <w:i w:val="0"/>
                <w:iCs w:val="0"/>
                <w:color w:val="1F497D" w:themeColor="text2"/>
                <w:lang w:val="en-GB"/>
              </w:rPr>
              <w:t xml:space="preserve">The ACNC chairs the international regulators forum, which shares risk management strategies and discusses best practice regulatory approaches with charity regulators in common law countries. This includes charity regulators from the United States of America, Canada, England and Wales, Scotland, Singapore, New Zealand and Ireland. </w:t>
            </w:r>
          </w:p>
          <w:p w14:paraId="435B8354" w14:textId="77777777" w:rsidR="009E6DE6" w:rsidRPr="009163A6" w:rsidRDefault="009E6DE6" w:rsidP="008963E0">
            <w:pPr>
              <w:pStyle w:val="Heading4"/>
              <w:spacing w:after="120"/>
              <w:outlineLvl w:val="3"/>
              <w:rPr>
                <w:rFonts w:asciiTheme="minorHAnsi" w:hAnsiTheme="minorHAnsi" w:cstheme="minorHAnsi"/>
                <w:b w:val="0"/>
                <w:bCs w:val="0"/>
                <w:i w:val="0"/>
                <w:iCs w:val="0"/>
                <w:color w:val="1F497D" w:themeColor="text2"/>
                <w:lang w:val="en-GB"/>
              </w:rPr>
            </w:pPr>
            <w:r w:rsidRPr="009163A6">
              <w:rPr>
                <w:rFonts w:asciiTheme="minorHAnsi" w:hAnsiTheme="minorHAnsi" w:cstheme="minorHAnsi"/>
                <w:b w:val="0"/>
                <w:bCs w:val="0"/>
                <w:i w:val="0"/>
                <w:iCs w:val="0"/>
                <w:color w:val="1F497D" w:themeColor="text2"/>
                <w:lang w:val="en-GB"/>
              </w:rPr>
              <w:t>We also chair a compliance forum with state and territory regulators to discuss emerging compliance themes and issues and consider coordinated responses to address them. These forums remain important in ensuring that we learn from each other and have helped us to identify individuals of concern and scams that have crossed jurisdictions.</w:t>
            </w:r>
          </w:p>
          <w:p w14:paraId="28CA1212" w14:textId="77777777" w:rsidR="002E196A" w:rsidRPr="009163A6" w:rsidRDefault="009E6DE6" w:rsidP="008963E0">
            <w:pPr>
              <w:spacing w:before="120"/>
              <w:rPr>
                <w:rFonts w:asciiTheme="minorHAnsi" w:hAnsiTheme="minorHAnsi" w:cstheme="minorHAnsi"/>
                <w:color w:val="1F497D" w:themeColor="text2"/>
                <w:szCs w:val="22"/>
                <w:highlight w:val="yellow"/>
              </w:rPr>
            </w:pPr>
            <w:r w:rsidRPr="009163A6">
              <w:rPr>
                <w:rFonts w:asciiTheme="minorHAnsi" w:hAnsiTheme="minorHAnsi" w:cstheme="minorHAnsi"/>
                <w:i/>
                <w:color w:val="1F497D" w:themeColor="text2"/>
                <w:szCs w:val="22"/>
                <w:lang w:val="en-GB"/>
              </w:rPr>
              <w:t>For further information, refer to 4.1.</w:t>
            </w:r>
          </w:p>
        </w:tc>
      </w:tr>
      <w:tr w:rsidR="002E196A" w:rsidRPr="009163A6" w14:paraId="11B30059" w14:textId="77777777" w:rsidTr="00760E04">
        <w:trPr>
          <w:trHeight w:val="1684"/>
        </w:trPr>
        <w:tc>
          <w:tcPr>
            <w:tcW w:w="100" w:type="pct"/>
            <w:shd w:val="clear" w:color="auto" w:fill="D9D9D9" w:themeFill="background1" w:themeFillShade="D9"/>
            <w:vAlign w:val="center"/>
          </w:tcPr>
          <w:p w14:paraId="611CA8B0" w14:textId="77777777" w:rsidR="002E196A" w:rsidRPr="009163A6" w:rsidRDefault="002E196A" w:rsidP="00114AC9">
            <w:pPr>
              <w:spacing w:before="240" w:after="0"/>
              <w:jc w:val="center"/>
              <w:rPr>
                <w:rFonts w:asciiTheme="minorHAnsi" w:hAnsiTheme="minorHAnsi" w:cstheme="minorHAnsi"/>
                <w:b/>
                <w:szCs w:val="22"/>
              </w:rPr>
            </w:pPr>
            <w:r w:rsidRPr="009163A6">
              <w:rPr>
                <w:rFonts w:asciiTheme="minorHAnsi" w:hAnsiTheme="minorHAnsi" w:cstheme="minorHAnsi"/>
                <w:b/>
                <w:szCs w:val="22"/>
              </w:rPr>
              <w:t>C</w:t>
            </w:r>
          </w:p>
        </w:tc>
        <w:tc>
          <w:tcPr>
            <w:tcW w:w="600" w:type="pct"/>
            <w:vAlign w:val="center"/>
          </w:tcPr>
          <w:p w14:paraId="23804560" w14:textId="77777777" w:rsidR="002E196A" w:rsidRPr="009163A6" w:rsidRDefault="002E196A" w:rsidP="00114AC9">
            <w:pPr>
              <w:spacing w:before="240" w:after="0"/>
              <w:rPr>
                <w:rFonts w:asciiTheme="minorHAnsi" w:hAnsiTheme="minorHAnsi" w:cstheme="minorHAnsi"/>
                <w:szCs w:val="22"/>
              </w:rPr>
            </w:pPr>
            <w:r w:rsidRPr="009163A6">
              <w:rPr>
                <w:rFonts w:asciiTheme="minorHAnsi" w:hAnsiTheme="minorHAnsi" w:cstheme="minorHAnsi"/>
                <w:szCs w:val="22"/>
              </w:rPr>
              <w:t>Regulators base monitoring and inspection approaches on risk and, where possible, take into account the circumstance and operational needs of the regulated entity.</w:t>
            </w:r>
          </w:p>
        </w:tc>
        <w:tc>
          <w:tcPr>
            <w:tcW w:w="167" w:type="pct"/>
            <w:shd w:val="clear" w:color="auto" w:fill="D9D9D9" w:themeFill="background1" w:themeFillShade="D9"/>
            <w:vAlign w:val="center"/>
          </w:tcPr>
          <w:p w14:paraId="0AF23AC3" w14:textId="77777777" w:rsidR="002E196A" w:rsidRPr="009163A6" w:rsidRDefault="002E196A" w:rsidP="00114AC9">
            <w:pPr>
              <w:spacing w:before="240" w:after="0"/>
              <w:jc w:val="center"/>
              <w:rPr>
                <w:rFonts w:asciiTheme="minorHAnsi" w:hAnsiTheme="minorHAnsi" w:cstheme="minorHAnsi"/>
                <w:b/>
                <w:szCs w:val="22"/>
              </w:rPr>
            </w:pPr>
            <w:r w:rsidRPr="009163A6">
              <w:rPr>
                <w:rFonts w:asciiTheme="minorHAnsi" w:hAnsiTheme="minorHAnsi" w:cstheme="minorHAnsi"/>
                <w:b/>
                <w:szCs w:val="22"/>
              </w:rPr>
              <w:t>4.7</w:t>
            </w:r>
          </w:p>
        </w:tc>
        <w:tc>
          <w:tcPr>
            <w:tcW w:w="705" w:type="pct"/>
            <w:shd w:val="clear" w:color="auto" w:fill="auto"/>
            <w:vAlign w:val="center"/>
          </w:tcPr>
          <w:p w14:paraId="09C4F7E0" w14:textId="77777777" w:rsidR="002E196A" w:rsidRPr="009163A6" w:rsidRDefault="002E196A" w:rsidP="00114AC9">
            <w:pPr>
              <w:spacing w:before="240" w:after="0"/>
              <w:rPr>
                <w:rFonts w:asciiTheme="minorHAnsi" w:hAnsiTheme="minorHAnsi" w:cstheme="minorHAnsi"/>
                <w:b/>
                <w:szCs w:val="22"/>
              </w:rPr>
            </w:pPr>
            <w:r w:rsidRPr="009163A6">
              <w:rPr>
                <w:rFonts w:asciiTheme="minorHAnsi" w:hAnsiTheme="minorHAnsi" w:cstheme="minorHAnsi"/>
                <w:b/>
                <w:szCs w:val="22"/>
              </w:rPr>
              <w:t>Compliance staff act in accordance with risk-based policies and procedures</w:t>
            </w:r>
          </w:p>
          <w:p w14:paraId="64660638" w14:textId="77777777" w:rsidR="002E196A" w:rsidRPr="009163A6" w:rsidRDefault="002E196A" w:rsidP="00114AC9">
            <w:pPr>
              <w:spacing w:before="240" w:after="0"/>
              <w:rPr>
                <w:rFonts w:asciiTheme="minorHAnsi" w:hAnsiTheme="minorHAnsi" w:cstheme="minorHAnsi"/>
                <w:szCs w:val="22"/>
              </w:rPr>
            </w:pPr>
          </w:p>
        </w:tc>
        <w:tc>
          <w:tcPr>
            <w:tcW w:w="928" w:type="pct"/>
            <w:shd w:val="clear" w:color="auto" w:fill="auto"/>
            <w:vAlign w:val="center"/>
          </w:tcPr>
          <w:p w14:paraId="390974E0" w14:textId="77777777" w:rsidR="002E196A" w:rsidRPr="009163A6" w:rsidRDefault="00167A4A" w:rsidP="00114AC9">
            <w:pPr>
              <w:spacing w:before="240" w:after="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Our Commissioner’s Policy Statement – Compliance and Enforcement and associated procedures were updated in October, and published on our website in November 2017</w:t>
            </w:r>
          </w:p>
        </w:tc>
        <w:tc>
          <w:tcPr>
            <w:tcW w:w="234" w:type="pct"/>
          </w:tcPr>
          <w:p w14:paraId="3AD589BF" w14:textId="77777777" w:rsidR="002E196A" w:rsidRPr="009163A6" w:rsidRDefault="002E196A" w:rsidP="00114AC9">
            <w:pPr>
              <w:spacing w:before="240" w:after="0"/>
              <w:jc w:val="center"/>
              <w:rPr>
                <w:rFonts w:asciiTheme="minorHAnsi" w:hAnsiTheme="minorHAnsi" w:cstheme="minorHAnsi"/>
                <w:noProof/>
                <w:color w:val="1F497D" w:themeColor="text2"/>
                <w:szCs w:val="22"/>
                <w:highlight w:val="yellow"/>
                <w:lang w:eastAsia="en-AU"/>
              </w:rPr>
            </w:pPr>
          </w:p>
          <w:p w14:paraId="2D122C18" w14:textId="77777777" w:rsidR="00F97618" w:rsidRPr="009163A6" w:rsidRDefault="00F97618" w:rsidP="00114AC9">
            <w:pPr>
              <w:spacing w:before="240" w:after="0"/>
              <w:jc w:val="center"/>
              <w:rPr>
                <w:rFonts w:asciiTheme="minorHAnsi" w:hAnsiTheme="minorHAnsi" w:cstheme="minorHAnsi"/>
                <w:noProof/>
                <w:color w:val="1F497D" w:themeColor="text2"/>
                <w:szCs w:val="22"/>
                <w:highlight w:val="yellow"/>
                <w:lang w:eastAsia="en-AU"/>
              </w:rPr>
            </w:pPr>
          </w:p>
          <w:p w14:paraId="2D32680A" w14:textId="77777777" w:rsidR="002E196A" w:rsidRPr="009163A6" w:rsidRDefault="00322B8D" w:rsidP="00114AC9">
            <w:pPr>
              <w:spacing w:before="240"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6B299EB8" wp14:editId="36BAEABC">
                  <wp:extent cx="201295" cy="213360"/>
                  <wp:effectExtent l="0" t="0" r="825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6" w:type="pct"/>
          </w:tcPr>
          <w:p w14:paraId="01CE20E0" w14:textId="11BB194E" w:rsidR="00E31886" w:rsidRPr="009163A6" w:rsidRDefault="002E196A" w:rsidP="008963E0">
            <w:pPr>
              <w:spacing w:before="120"/>
              <w:rPr>
                <w:rFonts w:asciiTheme="minorHAnsi" w:hAnsiTheme="minorHAnsi" w:cstheme="minorHAnsi"/>
                <w:color w:val="1F497D" w:themeColor="text2"/>
                <w:szCs w:val="22"/>
                <w:lang w:eastAsia="en-AU"/>
              </w:rPr>
            </w:pPr>
            <w:r w:rsidRPr="009163A6">
              <w:rPr>
                <w:rFonts w:asciiTheme="minorHAnsi" w:hAnsiTheme="minorHAnsi" w:cstheme="minorHAnsi"/>
                <w:color w:val="1F497D" w:themeColor="text2"/>
                <w:szCs w:val="22"/>
                <w:lang w:eastAsia="en-AU"/>
              </w:rPr>
              <w:t xml:space="preserve">ACNC </w:t>
            </w:r>
            <w:r w:rsidR="00736D5F">
              <w:rPr>
                <w:rFonts w:asciiTheme="minorHAnsi" w:hAnsiTheme="minorHAnsi" w:cstheme="minorHAnsi"/>
                <w:color w:val="1F497D" w:themeColor="text2"/>
                <w:szCs w:val="22"/>
                <w:lang w:eastAsia="en-AU"/>
              </w:rPr>
              <w:t>s</w:t>
            </w:r>
            <w:r w:rsidR="00736D5F" w:rsidRPr="009163A6">
              <w:rPr>
                <w:rFonts w:asciiTheme="minorHAnsi" w:hAnsiTheme="minorHAnsi" w:cstheme="minorHAnsi"/>
                <w:color w:val="1F497D" w:themeColor="text2"/>
                <w:szCs w:val="22"/>
                <w:lang w:eastAsia="en-AU"/>
              </w:rPr>
              <w:t xml:space="preserve">taff </w:t>
            </w:r>
            <w:r w:rsidRPr="009163A6">
              <w:rPr>
                <w:rFonts w:asciiTheme="minorHAnsi" w:hAnsiTheme="minorHAnsi" w:cstheme="minorHAnsi"/>
                <w:color w:val="1F497D" w:themeColor="text2"/>
                <w:szCs w:val="22"/>
                <w:lang w:eastAsia="en-AU"/>
              </w:rPr>
              <w:t xml:space="preserve">act in accordance with risk-based policies and procedures, consistent with the overarching ACNC </w:t>
            </w:r>
            <w:hyperlink r:id="rId73" w:history="1">
              <w:r w:rsidRPr="000177B3">
                <w:rPr>
                  <w:rStyle w:val="Hyperlink"/>
                  <w:rFonts w:asciiTheme="minorHAnsi" w:hAnsiTheme="minorHAnsi" w:cstheme="minorHAnsi"/>
                  <w:szCs w:val="22"/>
                  <w:lang w:eastAsia="en-AU"/>
                </w:rPr>
                <w:t>Regulatory Approach Statement</w:t>
              </w:r>
            </w:hyperlink>
            <w:r w:rsidRPr="009163A6">
              <w:rPr>
                <w:rFonts w:asciiTheme="minorHAnsi" w:hAnsiTheme="minorHAnsi" w:cstheme="minorHAnsi"/>
                <w:color w:val="1F497D" w:themeColor="text2"/>
                <w:szCs w:val="22"/>
                <w:lang w:eastAsia="en-AU"/>
              </w:rPr>
              <w:t xml:space="preserve"> and </w:t>
            </w:r>
            <w:r w:rsidR="00250070" w:rsidRPr="009163A6">
              <w:rPr>
                <w:rFonts w:asciiTheme="minorHAnsi" w:hAnsiTheme="minorHAnsi" w:cstheme="minorHAnsi"/>
                <w:color w:val="1F497D" w:themeColor="text2"/>
                <w:szCs w:val="22"/>
                <w:lang w:eastAsia="en-AU"/>
              </w:rPr>
              <w:t xml:space="preserve">the </w:t>
            </w:r>
            <w:hyperlink r:id="rId74" w:history="1">
              <w:r w:rsidR="00250070" w:rsidRPr="00736D5F">
                <w:rPr>
                  <w:rStyle w:val="Hyperlink"/>
                  <w:rFonts w:asciiTheme="minorHAnsi" w:hAnsiTheme="minorHAnsi" w:cstheme="minorHAnsi"/>
                  <w:szCs w:val="22"/>
                  <w:lang w:eastAsia="en-AU"/>
                </w:rPr>
                <w:t>Commissioner’s Policy Statement: Compliance and enforcement</w:t>
              </w:r>
            </w:hyperlink>
            <w:r w:rsidRPr="009163A6">
              <w:rPr>
                <w:rFonts w:asciiTheme="minorHAnsi" w:hAnsiTheme="minorHAnsi" w:cstheme="minorHAnsi"/>
                <w:color w:val="1F497D" w:themeColor="text2"/>
                <w:szCs w:val="22"/>
                <w:lang w:eastAsia="en-AU"/>
              </w:rPr>
              <w:t xml:space="preserve">. Compliance monitoring and inspection activities are only conducted in relation to those matters that present the greatest risk to trust and confidence in the sector.  </w:t>
            </w:r>
          </w:p>
          <w:p w14:paraId="5BCFF1A9" w14:textId="77777777" w:rsidR="002E196A" w:rsidRPr="009163A6" w:rsidRDefault="002E196A" w:rsidP="008963E0">
            <w:pPr>
              <w:spacing w:before="120"/>
              <w:rPr>
                <w:rFonts w:asciiTheme="minorHAnsi" w:hAnsiTheme="minorHAnsi" w:cstheme="minorHAnsi"/>
                <w:color w:val="1F497D" w:themeColor="text2"/>
                <w:szCs w:val="22"/>
                <w:lang w:eastAsia="en-AU"/>
              </w:rPr>
            </w:pPr>
            <w:r w:rsidRPr="009163A6">
              <w:rPr>
                <w:rFonts w:asciiTheme="minorHAnsi" w:hAnsiTheme="minorHAnsi" w:cstheme="minorHAnsi"/>
                <w:color w:val="1F497D" w:themeColor="text2"/>
                <w:szCs w:val="22"/>
                <w:lang w:eastAsia="en-AU"/>
              </w:rPr>
              <w:t xml:space="preserve">In recognition of the varying degrees of capacity within the sector, </w:t>
            </w:r>
            <w:r w:rsidR="00CF00E6" w:rsidRPr="009163A6">
              <w:rPr>
                <w:rFonts w:asciiTheme="minorHAnsi" w:hAnsiTheme="minorHAnsi" w:cstheme="minorHAnsi"/>
                <w:color w:val="1F497D" w:themeColor="text2"/>
                <w:szCs w:val="22"/>
                <w:lang w:eastAsia="en-AU"/>
              </w:rPr>
              <w:t>c</w:t>
            </w:r>
            <w:r w:rsidRPr="009163A6">
              <w:rPr>
                <w:rFonts w:asciiTheme="minorHAnsi" w:hAnsiTheme="minorHAnsi" w:cstheme="minorHAnsi"/>
                <w:color w:val="1F497D" w:themeColor="text2"/>
                <w:szCs w:val="22"/>
                <w:lang w:eastAsia="en-AU"/>
              </w:rPr>
              <w:t>ompliance activities are tailored according to the size and resources of the charity.</w:t>
            </w:r>
            <w:r w:rsidR="00E31886" w:rsidRPr="009163A6">
              <w:rPr>
                <w:rFonts w:asciiTheme="minorHAnsi" w:hAnsiTheme="minorHAnsi" w:cstheme="minorHAnsi"/>
                <w:color w:val="1F497D" w:themeColor="text2"/>
                <w:szCs w:val="22"/>
                <w:lang w:eastAsia="en-AU"/>
              </w:rPr>
              <w:t xml:space="preserve"> For example, s</w:t>
            </w:r>
            <w:r w:rsidRPr="009163A6">
              <w:rPr>
                <w:rFonts w:asciiTheme="minorHAnsi" w:hAnsiTheme="minorHAnsi" w:cstheme="minorHAnsi"/>
                <w:color w:val="1F497D" w:themeColor="text2"/>
                <w:szCs w:val="22"/>
                <w:lang w:eastAsia="en-AU"/>
              </w:rPr>
              <w:t>mall charities are provided longer time frames for responding to the ACNC.  Some compliance outcomes, such as penalties, vary depending on the size of the charity, with large charities paying higher penalty rates than medium and small sized charities.</w:t>
            </w:r>
          </w:p>
          <w:p w14:paraId="5376DAC1" w14:textId="77777777" w:rsidR="002E196A" w:rsidRPr="009163A6" w:rsidRDefault="00E31886" w:rsidP="008963E0">
            <w:pPr>
              <w:spacing w:before="120"/>
              <w:rPr>
                <w:rFonts w:asciiTheme="minorHAnsi" w:hAnsiTheme="minorHAnsi" w:cstheme="minorHAnsi"/>
                <w:b/>
                <w:bCs/>
                <w:smallCaps/>
                <w:color w:val="C0504D" w:themeColor="accent2"/>
                <w:spacing w:val="5"/>
                <w:sz w:val="24"/>
                <w:szCs w:val="22"/>
                <w:lang w:val="en-GB"/>
              </w:rPr>
            </w:pPr>
            <w:r w:rsidRPr="009163A6">
              <w:rPr>
                <w:rFonts w:asciiTheme="minorHAnsi" w:hAnsiTheme="minorHAnsi" w:cstheme="minorHAnsi"/>
                <w:i/>
                <w:color w:val="1F497D" w:themeColor="text2"/>
                <w:szCs w:val="22"/>
                <w:lang w:val="en-GB"/>
              </w:rPr>
              <w:t>For further information, refer to 3.1 and 3.2.</w:t>
            </w:r>
          </w:p>
        </w:tc>
      </w:tr>
    </w:tbl>
    <w:tbl>
      <w:tblPr>
        <w:tblStyle w:val="TableGrid2"/>
        <w:tblW w:w="5027" w:type="pct"/>
        <w:tblInd w:w="-34" w:type="dxa"/>
        <w:tblLayout w:type="fixed"/>
        <w:tblLook w:val="04A0" w:firstRow="1" w:lastRow="0" w:firstColumn="1" w:lastColumn="0" w:noHBand="0" w:noVBand="1"/>
      </w:tblPr>
      <w:tblGrid>
        <w:gridCol w:w="435"/>
        <w:gridCol w:w="2734"/>
        <w:gridCol w:w="765"/>
        <w:gridCol w:w="3183"/>
        <w:gridCol w:w="4210"/>
        <w:gridCol w:w="1059"/>
        <w:gridCol w:w="10250"/>
      </w:tblGrid>
      <w:tr w:rsidR="002E196A" w:rsidRPr="009163A6" w14:paraId="5E42B334" w14:textId="77777777" w:rsidTr="00760E04">
        <w:trPr>
          <w:trHeight w:val="567"/>
        </w:trPr>
        <w:tc>
          <w:tcPr>
            <w:tcW w:w="5000" w:type="pct"/>
            <w:gridSpan w:val="7"/>
            <w:shd w:val="clear" w:color="auto" w:fill="B8CCE4" w:themeFill="accent1" w:themeFillTint="66"/>
            <w:vAlign w:val="center"/>
          </w:tcPr>
          <w:p w14:paraId="1B210ED5" w14:textId="77777777" w:rsidR="002E196A" w:rsidRPr="009163A6" w:rsidRDefault="002E196A" w:rsidP="002E196A">
            <w:pPr>
              <w:spacing w:after="0"/>
              <w:rPr>
                <w:rFonts w:asciiTheme="minorHAnsi" w:hAnsiTheme="minorHAnsi" w:cstheme="minorHAnsi"/>
                <w:szCs w:val="22"/>
                <w:lang w:val="en-GB"/>
              </w:rPr>
            </w:pPr>
            <w:r w:rsidRPr="009163A6">
              <w:rPr>
                <w:rFonts w:asciiTheme="minorHAnsi" w:hAnsiTheme="minorHAnsi" w:cstheme="minorHAnsi"/>
                <w:szCs w:val="22"/>
                <w:lang w:val="en-GB"/>
              </w:rPr>
              <w:br w:type="page"/>
            </w:r>
            <w:r w:rsidRPr="009163A6">
              <w:rPr>
                <w:rFonts w:asciiTheme="minorHAnsi" w:hAnsiTheme="minorHAnsi" w:cstheme="minorHAnsi"/>
                <w:b/>
                <w:szCs w:val="22"/>
              </w:rPr>
              <w:t>KPI 5 – Regulators are open and transparent in their dealings with regulated entities</w:t>
            </w:r>
          </w:p>
        </w:tc>
      </w:tr>
      <w:tr w:rsidR="002E196A" w:rsidRPr="009163A6" w14:paraId="59DC6D9E" w14:textId="77777777" w:rsidTr="00EC0921">
        <w:trPr>
          <w:trHeight w:val="835"/>
        </w:trPr>
        <w:tc>
          <w:tcPr>
            <w:tcW w:w="96" w:type="pct"/>
            <w:vMerge w:val="restart"/>
            <w:shd w:val="clear" w:color="auto" w:fill="D9D9D9" w:themeFill="background1" w:themeFillShade="D9"/>
            <w:vAlign w:val="center"/>
          </w:tcPr>
          <w:p w14:paraId="3FE1CA13"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lastRenderedPageBreak/>
              <w:t>A</w:t>
            </w:r>
          </w:p>
        </w:tc>
        <w:tc>
          <w:tcPr>
            <w:tcW w:w="604" w:type="pct"/>
            <w:vMerge w:val="restart"/>
            <w:shd w:val="clear" w:color="auto" w:fill="auto"/>
            <w:vAlign w:val="center"/>
          </w:tcPr>
          <w:p w14:paraId="5412223A"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risk-based frameworks are publicly available in a format which is clear, understandable and accessible.</w:t>
            </w:r>
          </w:p>
        </w:tc>
        <w:tc>
          <w:tcPr>
            <w:tcW w:w="169" w:type="pct"/>
            <w:shd w:val="clear" w:color="auto" w:fill="D9D9D9" w:themeFill="background1" w:themeFillShade="D9"/>
            <w:vAlign w:val="center"/>
          </w:tcPr>
          <w:p w14:paraId="56B7F76A"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5.1</w:t>
            </w:r>
          </w:p>
        </w:tc>
        <w:tc>
          <w:tcPr>
            <w:tcW w:w="703" w:type="pct"/>
            <w:shd w:val="clear" w:color="auto" w:fill="auto"/>
            <w:vAlign w:val="center"/>
          </w:tcPr>
          <w:p w14:paraId="6A9B905F"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Regulatory Approach Statement is published online</w:t>
            </w:r>
          </w:p>
        </w:tc>
        <w:tc>
          <w:tcPr>
            <w:tcW w:w="930" w:type="pct"/>
            <w:shd w:val="clear" w:color="auto" w:fill="auto"/>
            <w:vAlign w:val="center"/>
          </w:tcPr>
          <w:p w14:paraId="6CFE77CE" w14:textId="77777777" w:rsidR="002E196A" w:rsidRPr="009163A6" w:rsidRDefault="002E196A" w:rsidP="00E31886">
            <w:pPr>
              <w:spacing w:before="120"/>
              <w:rPr>
                <w:rFonts w:asciiTheme="minorHAnsi" w:hAnsiTheme="minorHAnsi" w:cstheme="minorHAnsi"/>
                <w:b/>
                <w:szCs w:val="22"/>
                <w:highlight w:val="yellow"/>
              </w:rPr>
            </w:pPr>
            <w:r w:rsidRPr="009163A6">
              <w:rPr>
                <w:rFonts w:asciiTheme="minorHAnsi" w:hAnsiTheme="minorHAnsi" w:cstheme="minorHAnsi"/>
                <w:color w:val="1F497D" w:themeColor="text2"/>
                <w:szCs w:val="22"/>
              </w:rPr>
              <w:t>The ACNC’s Regu</w:t>
            </w:r>
            <w:r w:rsidR="00E31886" w:rsidRPr="009163A6">
              <w:rPr>
                <w:rFonts w:asciiTheme="minorHAnsi" w:hAnsiTheme="minorHAnsi" w:cstheme="minorHAnsi"/>
                <w:color w:val="1F497D" w:themeColor="text2"/>
                <w:szCs w:val="22"/>
              </w:rPr>
              <w:t xml:space="preserve">latory Approach Statement was </w:t>
            </w:r>
            <w:r w:rsidRPr="009163A6">
              <w:rPr>
                <w:rFonts w:asciiTheme="minorHAnsi" w:hAnsiTheme="minorHAnsi" w:cstheme="minorHAnsi"/>
                <w:color w:val="1F497D" w:themeColor="text2"/>
                <w:szCs w:val="22"/>
              </w:rPr>
              <w:t xml:space="preserve">available on </w:t>
            </w:r>
            <w:r w:rsidR="005E7922" w:rsidRPr="009163A6">
              <w:rPr>
                <w:rFonts w:asciiTheme="minorHAnsi" w:hAnsiTheme="minorHAnsi" w:cstheme="minorHAnsi"/>
                <w:color w:val="1F497D" w:themeColor="text2"/>
                <w:szCs w:val="22"/>
                <w:lang w:val="en-GB"/>
              </w:rPr>
              <w:t>our website</w:t>
            </w:r>
            <w:r w:rsidRPr="009163A6">
              <w:rPr>
                <w:rFonts w:asciiTheme="minorHAnsi" w:hAnsiTheme="minorHAnsi" w:cstheme="minorHAnsi"/>
                <w:color w:val="1F497D" w:themeColor="text2"/>
                <w:szCs w:val="22"/>
              </w:rPr>
              <w:t xml:space="preserve"> throughout 201</w:t>
            </w:r>
            <w:r w:rsidR="00F7781B" w:rsidRPr="009163A6">
              <w:rPr>
                <w:rFonts w:asciiTheme="minorHAnsi" w:hAnsiTheme="minorHAnsi" w:cstheme="minorHAnsi"/>
                <w:color w:val="1F497D" w:themeColor="text2"/>
                <w:szCs w:val="22"/>
              </w:rPr>
              <w:t>7</w:t>
            </w:r>
            <w:r w:rsidRPr="009163A6">
              <w:rPr>
                <w:rFonts w:asciiTheme="minorHAnsi" w:hAnsiTheme="minorHAnsi" w:cstheme="minorHAnsi"/>
                <w:color w:val="1F497D" w:themeColor="text2"/>
                <w:szCs w:val="22"/>
              </w:rPr>
              <w:t>-1</w:t>
            </w:r>
            <w:r w:rsidR="00F7781B" w:rsidRPr="009163A6">
              <w:rPr>
                <w:rFonts w:asciiTheme="minorHAnsi" w:hAnsiTheme="minorHAnsi" w:cstheme="minorHAnsi"/>
                <w:color w:val="1F497D" w:themeColor="text2"/>
                <w:szCs w:val="22"/>
              </w:rPr>
              <w:t>8</w:t>
            </w:r>
            <w:r w:rsidRPr="009163A6">
              <w:rPr>
                <w:rFonts w:asciiTheme="minorHAnsi" w:hAnsiTheme="minorHAnsi" w:cstheme="minorHAnsi"/>
                <w:color w:val="1F497D" w:themeColor="text2"/>
                <w:szCs w:val="22"/>
              </w:rPr>
              <w:t xml:space="preserve"> </w:t>
            </w:r>
          </w:p>
        </w:tc>
        <w:tc>
          <w:tcPr>
            <w:tcW w:w="234" w:type="pct"/>
            <w:shd w:val="clear" w:color="auto" w:fill="auto"/>
          </w:tcPr>
          <w:p w14:paraId="79471E3B"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385FBC23"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3BCC0BBC" wp14:editId="1DEAF22E">
                  <wp:extent cx="201295" cy="213360"/>
                  <wp:effectExtent l="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shd w:val="clear" w:color="auto" w:fill="auto"/>
          </w:tcPr>
          <w:p w14:paraId="4BC16A8C" w14:textId="4837BCAA" w:rsidR="002E196A" w:rsidRPr="009163A6" w:rsidRDefault="002E196A" w:rsidP="002B2BFE">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ACNC’s Regulatory Approach Statement</w:t>
            </w:r>
            <w:r w:rsidR="009D02AD" w:rsidRPr="009163A6">
              <w:rPr>
                <w:rFonts w:asciiTheme="minorHAnsi" w:hAnsiTheme="minorHAnsi" w:cstheme="minorHAnsi"/>
                <w:color w:val="1F497D" w:themeColor="text2"/>
                <w:szCs w:val="22"/>
              </w:rPr>
              <w:t xml:space="preserve"> </w:t>
            </w:r>
            <w:r w:rsidRPr="009163A6">
              <w:rPr>
                <w:rFonts w:asciiTheme="minorHAnsi" w:hAnsiTheme="minorHAnsi" w:cstheme="minorHAnsi"/>
                <w:color w:val="1F497D" w:themeColor="text2"/>
                <w:szCs w:val="22"/>
              </w:rPr>
              <w:t xml:space="preserve">is available at </w:t>
            </w:r>
            <w:hyperlink r:id="rId75" w:history="1">
              <w:r w:rsidRPr="009163A6">
                <w:rPr>
                  <w:rFonts w:asciiTheme="minorHAnsi" w:hAnsiTheme="minorHAnsi" w:cstheme="minorHAnsi"/>
                  <w:color w:val="0000FF" w:themeColor="hyperlink"/>
                  <w:szCs w:val="22"/>
                  <w:u w:val="single"/>
                </w:rPr>
                <w:t>acnc.gov.au/regulatoryapproach</w:t>
              </w:r>
            </w:hyperlink>
            <w:r w:rsidRPr="009163A6">
              <w:rPr>
                <w:rFonts w:asciiTheme="minorHAnsi" w:hAnsiTheme="minorHAnsi" w:cstheme="minorHAnsi"/>
                <w:color w:val="1F497D" w:themeColor="text2"/>
                <w:szCs w:val="22"/>
              </w:rPr>
              <w:t>.</w:t>
            </w:r>
          </w:p>
          <w:p w14:paraId="562162E9" w14:textId="77777777" w:rsidR="002E196A" w:rsidRPr="009163A6" w:rsidRDefault="009D02AD" w:rsidP="002B2BFE">
            <w:pPr>
              <w:spacing w:before="120"/>
              <w:rPr>
                <w:rFonts w:asciiTheme="minorHAnsi" w:hAnsiTheme="minorHAnsi" w:cstheme="minorHAnsi"/>
                <w:bCs/>
                <w:i/>
                <w:smallCaps/>
                <w:color w:val="C0504D" w:themeColor="accent2"/>
                <w:spacing w:val="5"/>
                <w:sz w:val="24"/>
                <w:szCs w:val="22"/>
                <w:highlight w:val="yellow"/>
                <w:lang w:val="en-GB"/>
              </w:rPr>
            </w:pPr>
            <w:r w:rsidRPr="009163A6">
              <w:rPr>
                <w:rFonts w:asciiTheme="minorHAnsi" w:hAnsiTheme="minorHAnsi" w:cstheme="minorHAnsi"/>
                <w:i/>
                <w:color w:val="1F497D" w:themeColor="text2"/>
                <w:szCs w:val="22"/>
                <w:lang w:val="en-GB"/>
              </w:rPr>
              <w:t>For further information, refer to</w:t>
            </w:r>
            <w:r w:rsidR="002E196A" w:rsidRPr="009163A6">
              <w:rPr>
                <w:rFonts w:asciiTheme="minorHAnsi" w:hAnsiTheme="minorHAnsi" w:cstheme="minorHAnsi"/>
                <w:i/>
                <w:color w:val="1F497D" w:themeColor="text2"/>
                <w:szCs w:val="22"/>
                <w:lang w:val="en-GB"/>
              </w:rPr>
              <w:t xml:space="preserve"> 3.3.</w:t>
            </w:r>
          </w:p>
        </w:tc>
      </w:tr>
      <w:tr w:rsidR="002E196A" w:rsidRPr="009163A6" w14:paraId="0AD97F2A" w14:textId="77777777" w:rsidTr="00EC0921">
        <w:trPr>
          <w:trHeight w:val="565"/>
        </w:trPr>
        <w:tc>
          <w:tcPr>
            <w:tcW w:w="96" w:type="pct"/>
            <w:vMerge/>
            <w:shd w:val="clear" w:color="auto" w:fill="D9D9D9" w:themeFill="background1" w:themeFillShade="D9"/>
            <w:vAlign w:val="center"/>
          </w:tcPr>
          <w:p w14:paraId="78663297" w14:textId="77777777" w:rsidR="002E196A" w:rsidRPr="009163A6" w:rsidRDefault="002E196A" w:rsidP="002E196A">
            <w:pPr>
              <w:spacing w:after="0"/>
              <w:jc w:val="center"/>
              <w:rPr>
                <w:rFonts w:asciiTheme="minorHAnsi" w:hAnsiTheme="minorHAnsi" w:cstheme="minorHAnsi"/>
                <w:b/>
                <w:szCs w:val="22"/>
              </w:rPr>
            </w:pPr>
          </w:p>
        </w:tc>
        <w:tc>
          <w:tcPr>
            <w:tcW w:w="604" w:type="pct"/>
            <w:vMerge/>
            <w:shd w:val="clear" w:color="auto" w:fill="auto"/>
            <w:vAlign w:val="center"/>
          </w:tcPr>
          <w:p w14:paraId="03AFD627" w14:textId="77777777" w:rsidR="002E196A" w:rsidRPr="009163A6" w:rsidRDefault="002E196A" w:rsidP="002E196A">
            <w:pPr>
              <w:spacing w:after="0"/>
              <w:rPr>
                <w:rFonts w:asciiTheme="minorHAnsi" w:hAnsiTheme="minorHAnsi" w:cstheme="minorHAnsi"/>
                <w:szCs w:val="22"/>
              </w:rPr>
            </w:pPr>
          </w:p>
        </w:tc>
        <w:tc>
          <w:tcPr>
            <w:tcW w:w="169" w:type="pct"/>
            <w:shd w:val="clear" w:color="auto" w:fill="D9D9D9" w:themeFill="background1" w:themeFillShade="D9"/>
            <w:vAlign w:val="center"/>
          </w:tcPr>
          <w:p w14:paraId="0BB73D0F"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5.2</w:t>
            </w:r>
          </w:p>
        </w:tc>
        <w:tc>
          <w:tcPr>
            <w:tcW w:w="703" w:type="pct"/>
            <w:shd w:val="clear" w:color="auto" w:fill="auto"/>
            <w:vAlign w:val="center"/>
          </w:tcPr>
          <w:p w14:paraId="0FAE2658"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Risk assessment framework is published online</w:t>
            </w:r>
          </w:p>
        </w:tc>
        <w:tc>
          <w:tcPr>
            <w:tcW w:w="930" w:type="pct"/>
            <w:vAlign w:val="center"/>
          </w:tcPr>
          <w:p w14:paraId="2701B2CC" w14:textId="77777777" w:rsidR="002E196A" w:rsidRPr="009163A6" w:rsidRDefault="00F87508" w:rsidP="00E31886">
            <w:pPr>
              <w:spacing w:after="0"/>
              <w:rPr>
                <w:rFonts w:asciiTheme="minorHAnsi" w:hAnsiTheme="minorHAnsi" w:cstheme="minorHAnsi"/>
                <w:b/>
                <w:szCs w:val="22"/>
                <w:highlight w:val="yellow"/>
              </w:rPr>
            </w:pPr>
            <w:r w:rsidRPr="009163A6">
              <w:rPr>
                <w:rFonts w:asciiTheme="minorHAnsi" w:hAnsiTheme="minorHAnsi" w:cstheme="minorHAnsi"/>
                <w:color w:val="1F497D" w:themeColor="text2"/>
                <w:szCs w:val="22"/>
                <w:lang w:val="en-GB"/>
              </w:rPr>
              <w:t xml:space="preserve">Our </w:t>
            </w:r>
            <w:r w:rsidR="00167A4A" w:rsidRPr="009163A6">
              <w:rPr>
                <w:rFonts w:asciiTheme="minorHAnsi" w:hAnsiTheme="minorHAnsi" w:cstheme="minorHAnsi"/>
                <w:color w:val="1F497D" w:themeColor="text2"/>
                <w:szCs w:val="22"/>
                <w:lang w:val="en-GB"/>
              </w:rPr>
              <w:t>Commissioner’s Policy Statement – Compliance and Enforcement and</w:t>
            </w:r>
            <w:r w:rsidRPr="009163A6">
              <w:rPr>
                <w:rFonts w:asciiTheme="minorHAnsi" w:hAnsiTheme="minorHAnsi" w:cstheme="minorHAnsi"/>
                <w:color w:val="1F497D" w:themeColor="text2"/>
                <w:szCs w:val="22"/>
                <w:lang w:val="en-GB"/>
              </w:rPr>
              <w:t xml:space="preserve"> associated procedures were updated in October, and published on our website in November 2017</w:t>
            </w:r>
          </w:p>
        </w:tc>
        <w:tc>
          <w:tcPr>
            <w:tcW w:w="234" w:type="pct"/>
          </w:tcPr>
          <w:p w14:paraId="0734F1C3" w14:textId="77777777" w:rsidR="00322B8D" w:rsidRPr="009163A6" w:rsidRDefault="00322B8D" w:rsidP="002E196A">
            <w:pPr>
              <w:spacing w:after="0"/>
              <w:jc w:val="center"/>
              <w:rPr>
                <w:rFonts w:asciiTheme="minorHAnsi" w:hAnsiTheme="minorHAnsi" w:cstheme="minorHAnsi"/>
                <w:noProof/>
                <w:color w:val="1F497D" w:themeColor="text2"/>
                <w:szCs w:val="22"/>
                <w:lang w:eastAsia="en-AU"/>
              </w:rPr>
            </w:pPr>
          </w:p>
          <w:p w14:paraId="152B7B6B"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402A667A" w14:textId="77777777" w:rsidR="002E196A" w:rsidRPr="009163A6" w:rsidRDefault="00322B8D"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5959A21B" wp14:editId="5EACC604">
                  <wp:extent cx="201295" cy="213360"/>
                  <wp:effectExtent l="0" t="0" r="825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tcPr>
          <w:p w14:paraId="35AA2F69" w14:textId="2B58789F" w:rsidR="002B2BFE" w:rsidRPr="009163A6" w:rsidRDefault="002E196A" w:rsidP="002B2BFE">
            <w:pPr>
              <w:spacing w:before="12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 xml:space="preserve">The ACNC’s overarching risk assessment framework is articulated within the </w:t>
            </w:r>
            <w:r w:rsidR="002B2BFE" w:rsidRPr="009163A6">
              <w:rPr>
                <w:rFonts w:asciiTheme="minorHAnsi" w:hAnsiTheme="minorHAnsi" w:cstheme="minorHAnsi"/>
                <w:color w:val="1F497D" w:themeColor="text2"/>
                <w:szCs w:val="22"/>
                <w:lang w:val="en-GB"/>
              </w:rPr>
              <w:t xml:space="preserve">ACNC’s </w:t>
            </w:r>
            <w:hyperlink r:id="rId76" w:history="1">
              <w:r w:rsidRPr="007E72F3">
                <w:rPr>
                  <w:rStyle w:val="Hyperlink"/>
                  <w:rFonts w:asciiTheme="minorHAnsi" w:hAnsiTheme="minorHAnsi" w:cstheme="minorHAnsi"/>
                  <w:szCs w:val="22"/>
                  <w:lang w:val="en-GB"/>
                </w:rPr>
                <w:t>Regulatory Approach Statement</w:t>
              </w:r>
            </w:hyperlink>
            <w:r w:rsidRPr="009163A6">
              <w:rPr>
                <w:rFonts w:asciiTheme="minorHAnsi" w:hAnsiTheme="minorHAnsi" w:cstheme="minorHAnsi"/>
                <w:color w:val="1F497D" w:themeColor="text2"/>
                <w:szCs w:val="22"/>
                <w:lang w:val="en-GB"/>
              </w:rPr>
              <w:t xml:space="preserve"> and </w:t>
            </w:r>
            <w:r w:rsidR="00167A4A" w:rsidRPr="009163A6">
              <w:rPr>
                <w:rFonts w:asciiTheme="minorHAnsi" w:hAnsiTheme="minorHAnsi" w:cstheme="minorHAnsi"/>
                <w:color w:val="1F497D" w:themeColor="text2"/>
                <w:szCs w:val="22"/>
                <w:lang w:val="en-GB"/>
              </w:rPr>
              <w:t xml:space="preserve">the </w:t>
            </w:r>
            <w:hyperlink r:id="rId77" w:history="1">
              <w:r w:rsidR="00167A4A" w:rsidRPr="007E72F3">
                <w:rPr>
                  <w:rStyle w:val="Hyperlink"/>
                  <w:rFonts w:asciiTheme="minorHAnsi" w:hAnsiTheme="minorHAnsi" w:cstheme="minorHAnsi"/>
                  <w:szCs w:val="22"/>
                  <w:lang w:val="en-GB"/>
                </w:rPr>
                <w:t>Commissioner’s Policy Statement – Compliance and Enforcement</w:t>
              </w:r>
            </w:hyperlink>
            <w:r w:rsidR="007E72F3">
              <w:rPr>
                <w:rFonts w:asciiTheme="minorHAnsi" w:hAnsiTheme="minorHAnsi" w:cstheme="minorHAnsi"/>
                <w:color w:val="1F497D" w:themeColor="text2"/>
                <w:szCs w:val="22"/>
                <w:lang w:val="en-GB"/>
              </w:rPr>
              <w:t>, which</w:t>
            </w:r>
            <w:r w:rsidR="00167A4A" w:rsidRPr="009163A6">
              <w:rPr>
                <w:rFonts w:asciiTheme="minorHAnsi" w:hAnsiTheme="minorHAnsi" w:cstheme="minorHAnsi"/>
                <w:color w:val="1F497D" w:themeColor="text2"/>
                <w:szCs w:val="22"/>
                <w:lang w:val="en-GB"/>
              </w:rPr>
              <w:t xml:space="preserve"> </w:t>
            </w:r>
            <w:r w:rsidR="002B2BFE" w:rsidRPr="009163A6">
              <w:rPr>
                <w:rFonts w:asciiTheme="minorHAnsi" w:hAnsiTheme="minorHAnsi" w:cstheme="minorHAnsi"/>
                <w:color w:val="1F497D" w:themeColor="text2"/>
                <w:szCs w:val="22"/>
                <w:lang w:val="en-GB"/>
              </w:rPr>
              <w:t xml:space="preserve">was updated </w:t>
            </w:r>
            <w:r w:rsidR="00167A4A" w:rsidRPr="009163A6">
              <w:rPr>
                <w:rFonts w:asciiTheme="minorHAnsi" w:hAnsiTheme="minorHAnsi" w:cstheme="minorHAnsi"/>
                <w:color w:val="1F497D" w:themeColor="text2"/>
                <w:szCs w:val="22"/>
                <w:lang w:val="en-GB"/>
              </w:rPr>
              <w:t xml:space="preserve">in October 2017, </w:t>
            </w:r>
            <w:r w:rsidR="002B2BFE" w:rsidRPr="009163A6">
              <w:rPr>
                <w:rFonts w:asciiTheme="minorHAnsi" w:hAnsiTheme="minorHAnsi" w:cstheme="minorHAnsi"/>
                <w:color w:val="1F497D" w:themeColor="text2"/>
                <w:szCs w:val="22"/>
                <w:lang w:val="en-GB"/>
              </w:rPr>
              <w:t>and publis</w:t>
            </w:r>
            <w:r w:rsidR="00167A4A" w:rsidRPr="009163A6">
              <w:rPr>
                <w:rFonts w:asciiTheme="minorHAnsi" w:hAnsiTheme="minorHAnsi" w:cstheme="minorHAnsi"/>
                <w:color w:val="1F497D" w:themeColor="text2"/>
                <w:szCs w:val="22"/>
                <w:lang w:val="en-GB"/>
              </w:rPr>
              <w:t>hed</w:t>
            </w:r>
            <w:r w:rsidR="002B2BFE" w:rsidRPr="009163A6">
              <w:rPr>
                <w:rFonts w:asciiTheme="minorHAnsi" w:hAnsiTheme="minorHAnsi" w:cstheme="minorHAnsi"/>
                <w:color w:val="1F497D" w:themeColor="text2"/>
                <w:szCs w:val="22"/>
                <w:lang w:val="en-GB"/>
              </w:rPr>
              <w:t xml:space="preserve"> in </w:t>
            </w:r>
            <w:r w:rsidR="00167A4A" w:rsidRPr="009163A6">
              <w:rPr>
                <w:rFonts w:asciiTheme="minorHAnsi" w:hAnsiTheme="minorHAnsi" w:cstheme="minorHAnsi"/>
                <w:color w:val="1F497D" w:themeColor="text2"/>
                <w:szCs w:val="22"/>
                <w:lang w:val="en-GB"/>
              </w:rPr>
              <w:t>November</w:t>
            </w:r>
            <w:r w:rsidR="002B2BFE" w:rsidRPr="009163A6">
              <w:rPr>
                <w:rFonts w:asciiTheme="minorHAnsi" w:hAnsiTheme="minorHAnsi" w:cstheme="minorHAnsi"/>
                <w:color w:val="1F497D" w:themeColor="text2"/>
                <w:szCs w:val="22"/>
                <w:lang w:val="en-GB"/>
              </w:rPr>
              <w:t xml:space="preserve"> 2017. </w:t>
            </w:r>
          </w:p>
          <w:p w14:paraId="5CE9A7DC" w14:textId="77777777" w:rsidR="002E196A" w:rsidRPr="009163A6" w:rsidRDefault="002B2BFE" w:rsidP="002B2BFE">
            <w:pPr>
              <w:spacing w:before="120"/>
              <w:rPr>
                <w:rFonts w:asciiTheme="minorHAnsi" w:hAnsiTheme="minorHAnsi" w:cstheme="minorHAnsi"/>
                <w:color w:val="1F497D" w:themeColor="text2"/>
                <w:szCs w:val="22"/>
                <w:highlight w:val="yellow"/>
              </w:rPr>
            </w:pPr>
            <w:r w:rsidRPr="009163A6">
              <w:rPr>
                <w:rFonts w:asciiTheme="minorHAnsi" w:hAnsiTheme="minorHAnsi" w:cstheme="minorHAnsi"/>
                <w:i/>
                <w:color w:val="1F497D" w:themeColor="text2"/>
                <w:szCs w:val="22"/>
                <w:lang w:val="en-GB"/>
              </w:rPr>
              <w:t>For further information, refer to 3.2 and 3.3.</w:t>
            </w:r>
          </w:p>
        </w:tc>
      </w:tr>
      <w:tr w:rsidR="002E196A" w:rsidRPr="009163A6" w14:paraId="3149260F" w14:textId="77777777" w:rsidTr="00EC0921">
        <w:trPr>
          <w:trHeight w:val="856"/>
        </w:trPr>
        <w:tc>
          <w:tcPr>
            <w:tcW w:w="96" w:type="pct"/>
            <w:vMerge w:val="restart"/>
            <w:shd w:val="clear" w:color="auto" w:fill="D9D9D9" w:themeFill="background1" w:themeFillShade="D9"/>
            <w:vAlign w:val="center"/>
          </w:tcPr>
          <w:p w14:paraId="54F0125F"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B</w:t>
            </w:r>
          </w:p>
        </w:tc>
        <w:tc>
          <w:tcPr>
            <w:tcW w:w="604" w:type="pct"/>
            <w:vMerge w:val="restart"/>
            <w:vAlign w:val="center"/>
          </w:tcPr>
          <w:p w14:paraId="18FDB57C"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are open and responsive to requests from regulated entities regarding the operation of the regulatory framework, and approaches implemented by regulators.</w:t>
            </w:r>
          </w:p>
        </w:tc>
        <w:tc>
          <w:tcPr>
            <w:tcW w:w="169" w:type="pct"/>
            <w:shd w:val="clear" w:color="auto" w:fill="D9D9D9" w:themeFill="background1" w:themeFillShade="D9"/>
            <w:vAlign w:val="center"/>
          </w:tcPr>
          <w:p w14:paraId="582809E5"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5.3</w:t>
            </w:r>
          </w:p>
        </w:tc>
        <w:tc>
          <w:tcPr>
            <w:tcW w:w="703" w:type="pct"/>
            <w:shd w:val="clear" w:color="auto" w:fill="auto"/>
            <w:vAlign w:val="center"/>
          </w:tcPr>
          <w:p w14:paraId="13108AB5"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Response to all requests for access to information provided within 30 days (those not under Freedom Of Information (FOI) or Privacy Acts)</w:t>
            </w:r>
          </w:p>
        </w:tc>
        <w:tc>
          <w:tcPr>
            <w:tcW w:w="930" w:type="pct"/>
            <w:vAlign w:val="center"/>
          </w:tcPr>
          <w:p w14:paraId="7CA60689" w14:textId="77777777" w:rsidR="002E196A" w:rsidRPr="009163A6" w:rsidRDefault="002E196A" w:rsidP="002E196A">
            <w:pPr>
              <w:spacing w:after="0"/>
              <w:rPr>
                <w:rFonts w:asciiTheme="minorHAnsi" w:hAnsiTheme="minorHAnsi" w:cstheme="minorHAnsi"/>
                <w:szCs w:val="22"/>
                <w:highlight w:val="green"/>
              </w:rPr>
            </w:pPr>
            <w:r w:rsidRPr="009163A6">
              <w:rPr>
                <w:rFonts w:asciiTheme="minorHAnsi" w:hAnsiTheme="minorHAnsi" w:cstheme="minorHAnsi"/>
                <w:color w:val="1F497D" w:themeColor="text2"/>
                <w:szCs w:val="22"/>
              </w:rPr>
              <w:t xml:space="preserve">Responses to general information requests within </w:t>
            </w:r>
            <w:r w:rsidR="007848EB" w:rsidRPr="009163A6">
              <w:rPr>
                <w:rFonts w:asciiTheme="minorHAnsi" w:hAnsiTheme="minorHAnsi" w:cstheme="minorHAnsi"/>
                <w:color w:val="1F497D" w:themeColor="text2"/>
                <w:szCs w:val="22"/>
              </w:rPr>
              <w:t>30</w:t>
            </w:r>
            <w:r w:rsidRPr="009163A6">
              <w:rPr>
                <w:rFonts w:asciiTheme="minorHAnsi" w:hAnsiTheme="minorHAnsi" w:cstheme="minorHAnsi"/>
                <w:color w:val="1F497D" w:themeColor="text2"/>
                <w:szCs w:val="22"/>
              </w:rPr>
              <w:t xml:space="preserve"> calendar days: </w:t>
            </w:r>
            <w:r w:rsidR="002B2BFE" w:rsidRPr="009163A6">
              <w:rPr>
                <w:rFonts w:asciiTheme="minorHAnsi" w:hAnsiTheme="minorHAnsi" w:cstheme="minorHAnsi"/>
                <w:color w:val="1F497D" w:themeColor="text2"/>
                <w:szCs w:val="22"/>
              </w:rPr>
              <w:t xml:space="preserve"> </w:t>
            </w:r>
            <w:r w:rsidRPr="009163A6">
              <w:rPr>
                <w:rFonts w:asciiTheme="minorHAnsi" w:hAnsiTheme="minorHAnsi" w:cstheme="minorHAnsi"/>
                <w:color w:val="1F497D" w:themeColor="text2"/>
                <w:szCs w:val="22"/>
              </w:rPr>
              <w:t>100</w:t>
            </w:r>
            <w:r w:rsidR="00B9400D" w:rsidRPr="009163A6">
              <w:rPr>
                <w:rFonts w:asciiTheme="minorHAnsi" w:hAnsiTheme="minorHAnsi" w:cstheme="minorHAnsi"/>
                <w:color w:val="1F497D" w:themeColor="text2"/>
                <w:szCs w:val="22"/>
              </w:rPr>
              <w:t xml:space="preserve"> per cent</w:t>
            </w:r>
          </w:p>
        </w:tc>
        <w:tc>
          <w:tcPr>
            <w:tcW w:w="234" w:type="pct"/>
          </w:tcPr>
          <w:p w14:paraId="0855AC3C"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59BD3404" w14:textId="77777777" w:rsidR="00F97618" w:rsidRPr="009163A6" w:rsidRDefault="00F97618" w:rsidP="00F97618">
            <w:pPr>
              <w:spacing w:after="0"/>
              <w:jc w:val="center"/>
              <w:rPr>
                <w:rFonts w:asciiTheme="minorHAnsi" w:hAnsiTheme="minorHAnsi" w:cstheme="minorHAnsi"/>
                <w:noProof/>
                <w:color w:val="1F497D" w:themeColor="text2"/>
                <w:szCs w:val="22"/>
                <w:highlight w:val="yellow"/>
                <w:lang w:eastAsia="en-AU"/>
              </w:rPr>
            </w:pPr>
          </w:p>
          <w:p w14:paraId="4A815C76"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253569FC" wp14:editId="0D2FBCEB">
                  <wp:extent cx="201295" cy="213360"/>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tcPr>
          <w:p w14:paraId="5FC500FE" w14:textId="77777777" w:rsidR="002E196A" w:rsidRPr="009163A6" w:rsidRDefault="002E196A" w:rsidP="002B2BFE">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The ACNC tries to make information available to the public outside of the formal FOI process as a general information request. The ACNC aims to respond to general information requests (those not made under the </w:t>
            </w:r>
            <w:r w:rsidRPr="009163A6">
              <w:rPr>
                <w:rFonts w:asciiTheme="minorHAnsi" w:hAnsiTheme="minorHAnsi" w:cstheme="minorHAnsi"/>
                <w:i/>
                <w:color w:val="1F497D" w:themeColor="text2"/>
                <w:szCs w:val="22"/>
              </w:rPr>
              <w:t>Freedom of Information Act 1982</w:t>
            </w:r>
            <w:r w:rsidRPr="009163A6">
              <w:rPr>
                <w:rFonts w:asciiTheme="minorHAnsi" w:hAnsiTheme="minorHAnsi" w:cstheme="minorHAnsi"/>
                <w:color w:val="1F497D" w:themeColor="text2"/>
                <w:szCs w:val="22"/>
              </w:rPr>
              <w:t xml:space="preserve"> (FOI Act) or </w:t>
            </w:r>
            <w:r w:rsidRPr="009163A6">
              <w:rPr>
                <w:rFonts w:asciiTheme="minorHAnsi" w:hAnsiTheme="minorHAnsi" w:cstheme="minorHAnsi"/>
                <w:i/>
                <w:color w:val="1F497D" w:themeColor="text2"/>
                <w:szCs w:val="22"/>
              </w:rPr>
              <w:t>Privacy Act 1988</w:t>
            </w:r>
            <w:r w:rsidRPr="009163A6">
              <w:rPr>
                <w:rFonts w:asciiTheme="minorHAnsi" w:hAnsiTheme="minorHAnsi" w:cstheme="minorHAnsi"/>
                <w:color w:val="1F497D" w:themeColor="text2"/>
                <w:szCs w:val="22"/>
              </w:rPr>
              <w:t>) within 30 calendar days.</w:t>
            </w:r>
          </w:p>
          <w:p w14:paraId="23C40038" w14:textId="77777777" w:rsidR="002E196A" w:rsidRPr="009163A6" w:rsidRDefault="00322B8D" w:rsidP="002B2BFE">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In 2017-18</w:t>
            </w:r>
            <w:r w:rsidR="002E196A" w:rsidRPr="009163A6">
              <w:rPr>
                <w:rFonts w:asciiTheme="minorHAnsi" w:hAnsiTheme="minorHAnsi" w:cstheme="minorHAnsi"/>
                <w:color w:val="1F497D" w:themeColor="text2"/>
                <w:szCs w:val="22"/>
              </w:rPr>
              <w:t>, the ACNC responded to 100</w:t>
            </w:r>
            <w:r w:rsidR="00B9400D" w:rsidRPr="009163A6">
              <w:rPr>
                <w:rFonts w:asciiTheme="minorHAnsi" w:hAnsiTheme="minorHAnsi" w:cstheme="minorHAnsi"/>
                <w:color w:val="1F497D" w:themeColor="text2"/>
                <w:szCs w:val="22"/>
              </w:rPr>
              <w:t xml:space="preserve"> per cent</w:t>
            </w:r>
            <w:r w:rsidR="002E196A" w:rsidRPr="009163A6">
              <w:rPr>
                <w:rFonts w:asciiTheme="minorHAnsi" w:hAnsiTheme="minorHAnsi" w:cstheme="minorHAnsi"/>
                <w:color w:val="1F497D" w:themeColor="text2"/>
                <w:szCs w:val="22"/>
              </w:rPr>
              <w:t xml:space="preserve"> of gener</w:t>
            </w:r>
            <w:r w:rsidR="00167A4A" w:rsidRPr="009163A6">
              <w:rPr>
                <w:rFonts w:asciiTheme="minorHAnsi" w:hAnsiTheme="minorHAnsi" w:cstheme="minorHAnsi"/>
                <w:color w:val="1F497D" w:themeColor="text2"/>
                <w:szCs w:val="22"/>
              </w:rPr>
              <w:t>al information requests within 30</w:t>
            </w:r>
            <w:r w:rsidR="002E196A" w:rsidRPr="009163A6">
              <w:rPr>
                <w:rFonts w:asciiTheme="minorHAnsi" w:hAnsiTheme="minorHAnsi" w:cstheme="minorHAnsi"/>
                <w:color w:val="1F497D" w:themeColor="text2"/>
                <w:szCs w:val="22"/>
              </w:rPr>
              <w:t xml:space="preserve"> calendar days.</w:t>
            </w:r>
          </w:p>
        </w:tc>
      </w:tr>
      <w:tr w:rsidR="002E196A" w:rsidRPr="009163A6" w14:paraId="4FEDB290" w14:textId="77777777" w:rsidTr="00EC0921">
        <w:trPr>
          <w:trHeight w:val="969"/>
        </w:trPr>
        <w:tc>
          <w:tcPr>
            <w:tcW w:w="96" w:type="pct"/>
            <w:vMerge/>
            <w:shd w:val="clear" w:color="auto" w:fill="D9D9D9" w:themeFill="background1" w:themeFillShade="D9"/>
            <w:vAlign w:val="center"/>
          </w:tcPr>
          <w:p w14:paraId="5E45CC63" w14:textId="77777777" w:rsidR="002E196A" w:rsidRPr="009163A6" w:rsidRDefault="002E196A" w:rsidP="002E196A">
            <w:pPr>
              <w:spacing w:after="0"/>
              <w:jc w:val="center"/>
              <w:rPr>
                <w:rFonts w:asciiTheme="minorHAnsi" w:hAnsiTheme="minorHAnsi" w:cstheme="minorHAnsi"/>
                <w:b/>
                <w:szCs w:val="22"/>
              </w:rPr>
            </w:pPr>
          </w:p>
        </w:tc>
        <w:tc>
          <w:tcPr>
            <w:tcW w:w="604" w:type="pct"/>
            <w:vMerge/>
            <w:vAlign w:val="center"/>
          </w:tcPr>
          <w:p w14:paraId="36BEE1FC" w14:textId="77777777" w:rsidR="002E196A" w:rsidRPr="009163A6" w:rsidRDefault="002E196A" w:rsidP="002E196A">
            <w:pPr>
              <w:spacing w:after="0"/>
              <w:rPr>
                <w:rFonts w:asciiTheme="minorHAnsi" w:hAnsiTheme="minorHAnsi" w:cstheme="minorHAnsi"/>
                <w:szCs w:val="22"/>
              </w:rPr>
            </w:pPr>
          </w:p>
        </w:tc>
        <w:tc>
          <w:tcPr>
            <w:tcW w:w="169" w:type="pct"/>
            <w:shd w:val="clear" w:color="auto" w:fill="D9D9D9" w:themeFill="background1" w:themeFillShade="D9"/>
            <w:vAlign w:val="center"/>
          </w:tcPr>
          <w:p w14:paraId="53F0493A"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5.4</w:t>
            </w:r>
          </w:p>
        </w:tc>
        <w:tc>
          <w:tcPr>
            <w:tcW w:w="703" w:type="pct"/>
            <w:vAlign w:val="center"/>
          </w:tcPr>
          <w:p w14:paraId="44361741"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Response to Freedom of Information Act Requests handled within 30 days (plus statutory extensions) or 60 days where third party consultation is required.</w:t>
            </w:r>
          </w:p>
        </w:tc>
        <w:tc>
          <w:tcPr>
            <w:tcW w:w="930" w:type="pct"/>
            <w:shd w:val="clear" w:color="auto" w:fill="auto"/>
            <w:vAlign w:val="center"/>
          </w:tcPr>
          <w:p w14:paraId="6A26E2A4" w14:textId="77777777" w:rsidR="002E196A" w:rsidRPr="009163A6" w:rsidRDefault="002E196A" w:rsidP="002E196A">
            <w:pPr>
              <w:spacing w:after="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Responses to FOI Act within 30 days: 100</w:t>
            </w:r>
            <w:r w:rsidR="00B9400D" w:rsidRPr="009163A6">
              <w:rPr>
                <w:rFonts w:asciiTheme="minorHAnsi" w:hAnsiTheme="minorHAnsi" w:cstheme="minorHAnsi"/>
                <w:color w:val="1F497D" w:themeColor="text2"/>
                <w:szCs w:val="22"/>
              </w:rPr>
              <w:t xml:space="preserve"> per cent</w:t>
            </w:r>
          </w:p>
          <w:p w14:paraId="70D19919" w14:textId="77777777" w:rsidR="002E196A" w:rsidRPr="009163A6" w:rsidRDefault="002E196A" w:rsidP="002E196A">
            <w:pPr>
              <w:spacing w:after="0"/>
              <w:rPr>
                <w:rFonts w:asciiTheme="minorHAnsi" w:hAnsiTheme="minorHAnsi" w:cstheme="minorHAnsi"/>
                <w:color w:val="1F497D" w:themeColor="text2"/>
                <w:szCs w:val="22"/>
              </w:rPr>
            </w:pPr>
          </w:p>
          <w:p w14:paraId="33EB4706" w14:textId="77777777" w:rsidR="002E196A" w:rsidRPr="009163A6" w:rsidRDefault="002E196A" w:rsidP="002E196A">
            <w:pPr>
              <w:spacing w:after="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Responses to FOI Act within 60 days where third party consultation is req</w:t>
            </w:r>
            <w:r w:rsidR="00504CFC" w:rsidRPr="009163A6">
              <w:rPr>
                <w:rFonts w:asciiTheme="minorHAnsi" w:hAnsiTheme="minorHAnsi" w:cstheme="minorHAnsi"/>
                <w:color w:val="1F497D" w:themeColor="text2"/>
                <w:szCs w:val="22"/>
              </w:rPr>
              <w:t>uired: 100</w:t>
            </w:r>
            <w:r w:rsidR="00B9400D" w:rsidRPr="009163A6">
              <w:rPr>
                <w:rFonts w:asciiTheme="minorHAnsi" w:hAnsiTheme="minorHAnsi" w:cstheme="minorHAnsi"/>
                <w:color w:val="1F497D" w:themeColor="text2"/>
                <w:szCs w:val="22"/>
              </w:rPr>
              <w:t xml:space="preserve"> per cent</w:t>
            </w:r>
            <w:r w:rsidR="00504CFC" w:rsidRPr="009163A6">
              <w:rPr>
                <w:rFonts w:asciiTheme="minorHAnsi" w:hAnsiTheme="minorHAnsi" w:cstheme="minorHAnsi"/>
                <w:color w:val="1F497D" w:themeColor="text2"/>
                <w:szCs w:val="22"/>
              </w:rPr>
              <w:t xml:space="preserve"> </w:t>
            </w:r>
          </w:p>
        </w:tc>
        <w:tc>
          <w:tcPr>
            <w:tcW w:w="234" w:type="pct"/>
          </w:tcPr>
          <w:p w14:paraId="64107D3B"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67A12848"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2C9348EB"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29613564"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114A04E3"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5FAA3DD9"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21138F51"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7B6F4B13" wp14:editId="77A01195">
                  <wp:extent cx="201295" cy="21336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tcPr>
          <w:p w14:paraId="066DD5F8" w14:textId="77777777" w:rsidR="002B2BFE" w:rsidRPr="009163A6" w:rsidRDefault="002B2BFE" w:rsidP="002B2BFE">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In 2017-2018, the ACNC received 27 requests for documents under the Freedom of Information Act 1982 (Cth)</w:t>
            </w:r>
            <w:r w:rsidR="00892F8E" w:rsidRPr="009163A6">
              <w:rPr>
                <w:rFonts w:asciiTheme="minorHAnsi" w:hAnsiTheme="minorHAnsi" w:cstheme="minorHAnsi"/>
                <w:color w:val="1F497D" w:themeColor="text2"/>
                <w:szCs w:val="22"/>
              </w:rPr>
              <w:t xml:space="preserve"> </w:t>
            </w:r>
            <w:r w:rsidRPr="009163A6">
              <w:rPr>
                <w:rFonts w:asciiTheme="minorHAnsi" w:hAnsiTheme="minorHAnsi" w:cstheme="minorHAnsi"/>
                <w:color w:val="1F497D" w:themeColor="text2"/>
                <w:szCs w:val="22"/>
              </w:rPr>
              <w:t>(FOI Act). Within this period, 26 requests were finalised with the following outcomes:</w:t>
            </w:r>
          </w:p>
          <w:p w14:paraId="3EB63FC5" w14:textId="77777777" w:rsidR="002B2BFE" w:rsidRPr="009163A6" w:rsidRDefault="002B2BFE"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Full access provided - 1</w:t>
            </w:r>
          </w:p>
          <w:p w14:paraId="70B936A4" w14:textId="77777777" w:rsidR="002B2BFE" w:rsidRPr="009163A6" w:rsidRDefault="002B2BFE"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Partial access provided - 5</w:t>
            </w:r>
          </w:p>
          <w:p w14:paraId="0C7215C3" w14:textId="77777777" w:rsidR="002B2BFE" w:rsidRPr="009163A6" w:rsidRDefault="002B2BFE"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Refused access to documents - 11</w:t>
            </w:r>
          </w:p>
          <w:p w14:paraId="0FB987C6" w14:textId="77777777" w:rsidR="002B2BFE" w:rsidRPr="009163A6" w:rsidRDefault="002B2BFE"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Withdrawn - 9</w:t>
            </w:r>
          </w:p>
          <w:p w14:paraId="5B9A77AB" w14:textId="77777777" w:rsidR="002E196A" w:rsidRPr="009163A6" w:rsidRDefault="002E196A" w:rsidP="002B2BFE">
            <w:pPr>
              <w:spacing w:before="120"/>
              <w:rPr>
                <w:rFonts w:asciiTheme="minorHAnsi" w:hAnsiTheme="minorHAnsi" w:cstheme="minorHAnsi"/>
                <w:color w:val="1F497D" w:themeColor="text2"/>
                <w:szCs w:val="22"/>
                <w:highlight w:val="yellow"/>
              </w:rPr>
            </w:pPr>
            <w:r w:rsidRPr="009163A6">
              <w:rPr>
                <w:rFonts w:asciiTheme="minorHAnsi" w:hAnsiTheme="minorHAnsi" w:cstheme="minorHAnsi"/>
                <w:color w:val="1F497D" w:themeColor="text2"/>
                <w:szCs w:val="22"/>
              </w:rPr>
              <w:t xml:space="preserve">Under Part II of the FOI Act, the ACNC is required to publish information as part of the Information Publication Scheme (IPS). Each agency must display on its website a plan showing what information it publishes in accordance with the IPS requirements. The ACNC has an IPS page available at </w:t>
            </w:r>
            <w:hyperlink r:id="rId78" w:history="1">
              <w:r w:rsidRPr="007E72F3">
                <w:rPr>
                  <w:rStyle w:val="Hyperlink"/>
                  <w:rFonts w:asciiTheme="minorHAnsi" w:hAnsiTheme="minorHAnsi" w:cstheme="minorHAnsi"/>
                  <w:szCs w:val="22"/>
                </w:rPr>
                <w:t>acnc.gov.au</w:t>
              </w:r>
              <w:r w:rsidR="007E72F3" w:rsidRPr="007E72F3">
                <w:rPr>
                  <w:rStyle w:val="Hyperlink"/>
                  <w:rFonts w:asciiTheme="minorHAnsi" w:hAnsiTheme="minorHAnsi" w:cstheme="minorHAnsi"/>
                  <w:szCs w:val="22"/>
                </w:rPr>
                <w:t>/IPS</w:t>
              </w:r>
            </w:hyperlink>
            <w:r w:rsidRPr="009163A6">
              <w:rPr>
                <w:rFonts w:asciiTheme="minorHAnsi" w:hAnsiTheme="minorHAnsi" w:cstheme="minorHAnsi"/>
                <w:color w:val="1F497D" w:themeColor="text2"/>
                <w:szCs w:val="22"/>
              </w:rPr>
              <w:t xml:space="preserve">. </w:t>
            </w:r>
          </w:p>
        </w:tc>
      </w:tr>
      <w:tr w:rsidR="002E196A" w:rsidRPr="009163A6" w14:paraId="07DA5AD8" w14:textId="77777777" w:rsidTr="00760E04">
        <w:trPr>
          <w:trHeight w:val="1563"/>
        </w:trPr>
        <w:tc>
          <w:tcPr>
            <w:tcW w:w="96" w:type="pct"/>
            <w:shd w:val="clear" w:color="auto" w:fill="D9D9D9" w:themeFill="background1" w:themeFillShade="D9"/>
            <w:vAlign w:val="center"/>
          </w:tcPr>
          <w:p w14:paraId="6CE8172D"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C</w:t>
            </w:r>
          </w:p>
        </w:tc>
        <w:tc>
          <w:tcPr>
            <w:tcW w:w="604" w:type="pct"/>
            <w:vAlign w:val="center"/>
          </w:tcPr>
          <w:p w14:paraId="1ECE0386"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performance measurement results are published in a timely manner to ensure accountability to the public.</w:t>
            </w:r>
          </w:p>
        </w:tc>
        <w:tc>
          <w:tcPr>
            <w:tcW w:w="169" w:type="pct"/>
            <w:shd w:val="clear" w:color="auto" w:fill="D9D9D9" w:themeFill="background1" w:themeFillShade="D9"/>
            <w:vAlign w:val="center"/>
          </w:tcPr>
          <w:p w14:paraId="6069EDFD"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5.5</w:t>
            </w:r>
          </w:p>
        </w:tc>
        <w:tc>
          <w:tcPr>
            <w:tcW w:w="703" w:type="pct"/>
            <w:vAlign w:val="center"/>
          </w:tcPr>
          <w:p w14:paraId="5ADBF998"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RPF self-assessment published in the ACNC Annual Report</w:t>
            </w:r>
          </w:p>
        </w:tc>
        <w:tc>
          <w:tcPr>
            <w:tcW w:w="930" w:type="pct"/>
            <w:vAlign w:val="center"/>
          </w:tcPr>
          <w:p w14:paraId="440331A2" w14:textId="77777777" w:rsidR="002E196A" w:rsidRPr="009163A6" w:rsidRDefault="000A0AF2" w:rsidP="000A0AF2">
            <w:pPr>
              <w:spacing w:before="120"/>
              <w:rPr>
                <w:rFonts w:asciiTheme="minorHAnsi" w:hAnsiTheme="minorHAnsi" w:cstheme="minorHAnsi"/>
                <w:szCs w:val="22"/>
                <w:highlight w:val="yellow"/>
              </w:rPr>
            </w:pPr>
            <w:r w:rsidRPr="009163A6">
              <w:rPr>
                <w:rFonts w:asciiTheme="minorHAnsi" w:hAnsiTheme="minorHAnsi" w:cstheme="minorHAnsi"/>
                <w:color w:val="1F497D" w:themeColor="text2"/>
                <w:szCs w:val="22"/>
              </w:rPr>
              <w:t>2016-17 RPF report was published on our website in December 2017</w:t>
            </w:r>
          </w:p>
        </w:tc>
        <w:tc>
          <w:tcPr>
            <w:tcW w:w="234" w:type="pct"/>
          </w:tcPr>
          <w:p w14:paraId="4993DF87"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48F3296A"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3388AC83"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1D4EF1BD" w14:textId="77777777" w:rsidR="002E196A" w:rsidRPr="009163A6" w:rsidRDefault="002E196A" w:rsidP="00F97618">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52CF80BB" wp14:editId="7D8A6CA8">
                  <wp:extent cx="201295" cy="213360"/>
                  <wp:effectExtent l="0" t="0" r="825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p w14:paraId="789C9275"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29AB988D"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tc>
        <w:tc>
          <w:tcPr>
            <w:tcW w:w="2264" w:type="pct"/>
          </w:tcPr>
          <w:p w14:paraId="3708316A" w14:textId="77777777" w:rsidR="000A0AF2" w:rsidRPr="009163A6" w:rsidRDefault="000A0AF2" w:rsidP="000A0AF2">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Consistent with other Commonwealth regulators, the ACNC published the 2016-17 RPF report separately from our Annual Report. Our 2016-17 Annual Report was tabled on 27 October 2016 and is publicly available at </w:t>
            </w:r>
            <w:hyperlink r:id="rId79" w:history="1">
              <w:r w:rsidRPr="007E72F3">
                <w:rPr>
                  <w:rStyle w:val="Hyperlink"/>
                  <w:rFonts w:asciiTheme="minorHAnsi" w:hAnsiTheme="minorHAnsi" w:cstheme="minorHAnsi"/>
                  <w:szCs w:val="22"/>
                </w:rPr>
                <w:t>annualreport.acnc.gov.au</w:t>
              </w:r>
            </w:hyperlink>
            <w:r w:rsidRPr="009163A6">
              <w:rPr>
                <w:rFonts w:asciiTheme="minorHAnsi" w:hAnsiTheme="minorHAnsi" w:cstheme="minorHAnsi"/>
                <w:color w:val="1F497D" w:themeColor="text2"/>
                <w:szCs w:val="22"/>
              </w:rPr>
              <w:t xml:space="preserve">. The 2016-17 RPF report was published on our website in December 2017. </w:t>
            </w:r>
          </w:p>
          <w:p w14:paraId="505C8154" w14:textId="77777777" w:rsidR="002E196A" w:rsidRPr="009163A6" w:rsidRDefault="000A0AF2" w:rsidP="000A0AF2">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Although the 2017-18 RPF was finalised in August 2018, this report will be published separately from our Annual Report. We expect our Annual Report to be tabled in October 2018 – similar to other years, we expect this RPF report to be published on our website in December 2018.</w:t>
            </w:r>
          </w:p>
        </w:tc>
      </w:tr>
      <w:tr w:rsidR="002E196A" w:rsidRPr="009163A6" w14:paraId="32BEECA5" w14:textId="77777777" w:rsidTr="00760E04">
        <w:trPr>
          <w:trHeight w:val="567"/>
        </w:trPr>
        <w:tc>
          <w:tcPr>
            <w:tcW w:w="5000" w:type="pct"/>
            <w:gridSpan w:val="7"/>
            <w:shd w:val="clear" w:color="auto" w:fill="B8CCE4" w:themeFill="accent1" w:themeFillTint="66"/>
            <w:vAlign w:val="center"/>
          </w:tcPr>
          <w:p w14:paraId="5EDBD673"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KPI 6 – Regulators actively contribute to the continuous improvement of regulatory frameworks</w:t>
            </w:r>
          </w:p>
        </w:tc>
      </w:tr>
      <w:tr w:rsidR="002E196A" w:rsidRPr="009163A6" w14:paraId="40C0450C" w14:textId="77777777" w:rsidTr="009C0793">
        <w:trPr>
          <w:trHeight w:val="713"/>
        </w:trPr>
        <w:tc>
          <w:tcPr>
            <w:tcW w:w="96" w:type="pct"/>
            <w:vMerge w:val="restart"/>
            <w:shd w:val="clear" w:color="auto" w:fill="D9D9D9" w:themeFill="background1" w:themeFillShade="D9"/>
            <w:vAlign w:val="center"/>
          </w:tcPr>
          <w:p w14:paraId="61893AE0" w14:textId="77777777" w:rsidR="002E196A" w:rsidRPr="009163A6" w:rsidRDefault="002E196A" w:rsidP="00322B8D">
            <w:pPr>
              <w:spacing w:before="240" w:after="0"/>
              <w:jc w:val="center"/>
              <w:rPr>
                <w:rFonts w:asciiTheme="minorHAnsi" w:hAnsiTheme="minorHAnsi" w:cstheme="minorHAnsi"/>
                <w:b/>
                <w:szCs w:val="22"/>
              </w:rPr>
            </w:pPr>
            <w:r w:rsidRPr="009163A6">
              <w:rPr>
                <w:rFonts w:asciiTheme="minorHAnsi" w:hAnsiTheme="minorHAnsi" w:cstheme="minorHAnsi"/>
                <w:b/>
                <w:szCs w:val="22"/>
              </w:rPr>
              <w:t>A</w:t>
            </w:r>
          </w:p>
        </w:tc>
        <w:tc>
          <w:tcPr>
            <w:tcW w:w="604" w:type="pct"/>
            <w:vMerge w:val="restart"/>
            <w:shd w:val="clear" w:color="auto" w:fill="auto"/>
            <w:vAlign w:val="center"/>
          </w:tcPr>
          <w:p w14:paraId="68A48168" w14:textId="77777777" w:rsidR="002E196A" w:rsidRPr="009163A6" w:rsidRDefault="002E196A" w:rsidP="00322B8D">
            <w:pPr>
              <w:spacing w:before="240" w:after="0"/>
              <w:rPr>
                <w:rFonts w:asciiTheme="minorHAnsi" w:hAnsiTheme="minorHAnsi" w:cstheme="minorHAnsi"/>
                <w:szCs w:val="22"/>
              </w:rPr>
            </w:pPr>
            <w:r w:rsidRPr="009163A6">
              <w:rPr>
                <w:rFonts w:asciiTheme="minorHAnsi" w:hAnsiTheme="minorHAnsi" w:cstheme="minorHAnsi"/>
                <w:szCs w:val="22"/>
              </w:rPr>
              <w:t>Regulators establish cooperative and collaborative relationships with stakeholders to promote trust and improve the efficiency and effectiveness of the regulatory framework.</w:t>
            </w:r>
          </w:p>
        </w:tc>
        <w:tc>
          <w:tcPr>
            <w:tcW w:w="169" w:type="pct"/>
            <w:shd w:val="clear" w:color="auto" w:fill="auto"/>
            <w:vAlign w:val="center"/>
          </w:tcPr>
          <w:p w14:paraId="0A05716A" w14:textId="77777777" w:rsidR="002E196A" w:rsidRPr="009163A6" w:rsidRDefault="002E196A" w:rsidP="00322B8D">
            <w:pPr>
              <w:spacing w:before="240" w:after="0"/>
              <w:jc w:val="center"/>
              <w:rPr>
                <w:rFonts w:asciiTheme="minorHAnsi" w:hAnsiTheme="minorHAnsi" w:cstheme="minorHAnsi"/>
                <w:b/>
                <w:szCs w:val="22"/>
              </w:rPr>
            </w:pPr>
            <w:r w:rsidRPr="009163A6">
              <w:rPr>
                <w:rFonts w:asciiTheme="minorHAnsi" w:hAnsiTheme="minorHAnsi" w:cstheme="minorHAnsi"/>
                <w:b/>
                <w:szCs w:val="22"/>
              </w:rPr>
              <w:t>6.1</w:t>
            </w:r>
          </w:p>
        </w:tc>
        <w:tc>
          <w:tcPr>
            <w:tcW w:w="703" w:type="pct"/>
            <w:shd w:val="clear" w:color="auto" w:fill="auto"/>
            <w:vAlign w:val="center"/>
          </w:tcPr>
          <w:p w14:paraId="0DDCA1F0" w14:textId="77777777" w:rsidR="002E196A" w:rsidRPr="009163A6" w:rsidRDefault="002E196A" w:rsidP="00322B8D">
            <w:pPr>
              <w:spacing w:before="240" w:after="0"/>
              <w:rPr>
                <w:rFonts w:asciiTheme="minorHAnsi" w:hAnsiTheme="minorHAnsi" w:cstheme="minorHAnsi"/>
                <w:b/>
                <w:szCs w:val="22"/>
              </w:rPr>
            </w:pPr>
            <w:r w:rsidRPr="009163A6">
              <w:rPr>
                <w:rFonts w:asciiTheme="minorHAnsi" w:hAnsiTheme="minorHAnsi" w:cstheme="minorHAnsi"/>
                <w:b/>
                <w:szCs w:val="22"/>
              </w:rPr>
              <w:t>At least three meetings of the Professional User Group are held annually</w:t>
            </w:r>
          </w:p>
        </w:tc>
        <w:tc>
          <w:tcPr>
            <w:tcW w:w="930" w:type="pct"/>
            <w:shd w:val="clear" w:color="auto" w:fill="auto"/>
            <w:vAlign w:val="center"/>
          </w:tcPr>
          <w:p w14:paraId="643D3107" w14:textId="77777777" w:rsidR="002E196A" w:rsidRPr="009163A6" w:rsidRDefault="00322B8D" w:rsidP="00322B8D">
            <w:pPr>
              <w:spacing w:before="240" w:after="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3 m</w:t>
            </w:r>
            <w:r w:rsidR="002E196A" w:rsidRPr="009163A6">
              <w:rPr>
                <w:rFonts w:asciiTheme="minorHAnsi" w:hAnsiTheme="minorHAnsi" w:cstheme="minorHAnsi"/>
                <w:color w:val="1F497D" w:themeColor="text2"/>
                <w:szCs w:val="22"/>
              </w:rPr>
              <w:t xml:space="preserve">eetings of the Professional User Group </w:t>
            </w:r>
            <w:r w:rsidRPr="009163A6">
              <w:rPr>
                <w:rFonts w:asciiTheme="minorHAnsi" w:hAnsiTheme="minorHAnsi" w:cstheme="minorHAnsi"/>
                <w:color w:val="1F497D" w:themeColor="text2"/>
                <w:szCs w:val="22"/>
              </w:rPr>
              <w:t>were held in 2017-18</w:t>
            </w:r>
          </w:p>
          <w:p w14:paraId="1A8EC644" w14:textId="77777777" w:rsidR="002E196A" w:rsidRPr="009163A6" w:rsidRDefault="002E196A" w:rsidP="00322B8D">
            <w:pPr>
              <w:spacing w:before="240" w:after="0"/>
              <w:rPr>
                <w:rFonts w:asciiTheme="minorHAnsi" w:hAnsiTheme="minorHAnsi" w:cstheme="minorHAnsi"/>
                <w:szCs w:val="22"/>
                <w:highlight w:val="yellow"/>
              </w:rPr>
            </w:pPr>
          </w:p>
        </w:tc>
        <w:tc>
          <w:tcPr>
            <w:tcW w:w="234" w:type="pct"/>
            <w:shd w:val="clear" w:color="auto" w:fill="auto"/>
          </w:tcPr>
          <w:p w14:paraId="7258E7AE" w14:textId="77777777" w:rsidR="00F97618" w:rsidRPr="009163A6" w:rsidRDefault="00F97618" w:rsidP="00F97618">
            <w:pPr>
              <w:spacing w:before="240" w:after="0"/>
              <w:jc w:val="center"/>
              <w:rPr>
                <w:rFonts w:asciiTheme="minorHAnsi" w:hAnsiTheme="minorHAnsi" w:cstheme="minorHAnsi"/>
                <w:noProof/>
                <w:color w:val="1F497D" w:themeColor="text2"/>
                <w:szCs w:val="22"/>
                <w:lang w:eastAsia="en-AU"/>
              </w:rPr>
            </w:pPr>
          </w:p>
          <w:p w14:paraId="57BCFB44" w14:textId="77777777" w:rsidR="002E196A" w:rsidRPr="009163A6" w:rsidRDefault="002E196A" w:rsidP="00F97618">
            <w:pPr>
              <w:spacing w:after="0"/>
              <w:jc w:val="center"/>
              <w:rPr>
                <w:rFonts w:asciiTheme="minorHAnsi" w:hAnsiTheme="minorHAnsi" w:cstheme="minorHAnsi"/>
                <w:noProof/>
                <w:color w:val="1F497D" w:themeColor="text2"/>
                <w:szCs w:val="22"/>
                <w:lang w:eastAsia="en-AU"/>
              </w:rPr>
            </w:pPr>
            <w:r w:rsidRPr="009163A6">
              <w:rPr>
                <w:rFonts w:asciiTheme="minorHAnsi" w:hAnsiTheme="minorHAnsi" w:cstheme="minorHAnsi"/>
                <w:noProof/>
                <w:color w:val="1F497D" w:themeColor="text2"/>
                <w:szCs w:val="22"/>
                <w:lang w:eastAsia="en-AU"/>
              </w:rPr>
              <w:drawing>
                <wp:inline distT="0" distB="0" distL="0" distR="0" wp14:anchorId="42776A5C" wp14:editId="7A3812AD">
                  <wp:extent cx="201295" cy="213360"/>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shd w:val="clear" w:color="auto" w:fill="auto"/>
          </w:tcPr>
          <w:p w14:paraId="08003FB1" w14:textId="77777777" w:rsidR="00504CFC" w:rsidRPr="009163A6" w:rsidRDefault="00504CFC" w:rsidP="00504CF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In 2017–18, we convened three meetings of the Professional User Group (PUG). The PUG helped to improve the ACNC’s regulatory approach and guidance products. They also reviewed the ACNC’s 2016-17 RPF</w:t>
            </w:r>
            <w:r w:rsidR="00892F8E" w:rsidRPr="009163A6">
              <w:rPr>
                <w:rFonts w:asciiTheme="minorHAnsi" w:hAnsiTheme="minorHAnsi" w:cstheme="minorHAnsi"/>
                <w:color w:val="1F497D" w:themeColor="text2"/>
                <w:szCs w:val="22"/>
              </w:rPr>
              <w:t xml:space="preserve"> report</w:t>
            </w:r>
            <w:r w:rsidRPr="009163A6">
              <w:rPr>
                <w:rFonts w:asciiTheme="minorHAnsi" w:hAnsiTheme="minorHAnsi" w:cstheme="minorHAnsi"/>
                <w:color w:val="1F497D" w:themeColor="text2"/>
                <w:szCs w:val="22"/>
              </w:rPr>
              <w:t>.</w:t>
            </w:r>
          </w:p>
          <w:p w14:paraId="0C981091" w14:textId="77777777" w:rsidR="002E196A" w:rsidRPr="009163A6" w:rsidRDefault="00504CFC" w:rsidP="00322B8D">
            <w:pPr>
              <w:spacing w:before="120"/>
              <w:rPr>
                <w:rFonts w:asciiTheme="minorHAnsi" w:hAnsiTheme="minorHAnsi" w:cstheme="minorHAnsi"/>
                <w:color w:val="1F497D" w:themeColor="text2"/>
                <w:szCs w:val="22"/>
              </w:rPr>
            </w:pPr>
            <w:r w:rsidRPr="009163A6">
              <w:rPr>
                <w:rFonts w:asciiTheme="minorHAnsi" w:hAnsiTheme="minorHAnsi" w:cstheme="minorHAnsi"/>
                <w:i/>
                <w:color w:val="1F497D" w:themeColor="text2"/>
                <w:szCs w:val="22"/>
              </w:rPr>
              <w:t>For further information, refer to 1.1.</w:t>
            </w:r>
          </w:p>
        </w:tc>
      </w:tr>
      <w:tr w:rsidR="002E196A" w:rsidRPr="009163A6" w14:paraId="02A7D7F8" w14:textId="77777777" w:rsidTr="009C0793">
        <w:trPr>
          <w:trHeight w:val="707"/>
        </w:trPr>
        <w:tc>
          <w:tcPr>
            <w:tcW w:w="96" w:type="pct"/>
            <w:vMerge/>
            <w:shd w:val="clear" w:color="auto" w:fill="D9D9D9" w:themeFill="background1" w:themeFillShade="D9"/>
            <w:vAlign w:val="center"/>
          </w:tcPr>
          <w:p w14:paraId="2B25A3F2" w14:textId="77777777" w:rsidR="002E196A" w:rsidRPr="009163A6" w:rsidRDefault="002E196A" w:rsidP="00322B8D">
            <w:pPr>
              <w:spacing w:before="240" w:after="0"/>
              <w:jc w:val="center"/>
              <w:rPr>
                <w:rFonts w:asciiTheme="minorHAnsi" w:hAnsiTheme="minorHAnsi" w:cstheme="minorHAnsi"/>
                <w:b/>
                <w:szCs w:val="22"/>
              </w:rPr>
            </w:pPr>
          </w:p>
        </w:tc>
        <w:tc>
          <w:tcPr>
            <w:tcW w:w="604" w:type="pct"/>
            <w:vMerge/>
            <w:shd w:val="clear" w:color="auto" w:fill="auto"/>
            <w:vAlign w:val="center"/>
          </w:tcPr>
          <w:p w14:paraId="5E0F326F" w14:textId="77777777" w:rsidR="002E196A" w:rsidRPr="009163A6" w:rsidRDefault="002E196A" w:rsidP="00322B8D">
            <w:pPr>
              <w:spacing w:before="240" w:after="0"/>
              <w:rPr>
                <w:rFonts w:asciiTheme="minorHAnsi" w:hAnsiTheme="minorHAnsi" w:cstheme="minorHAnsi"/>
                <w:szCs w:val="22"/>
              </w:rPr>
            </w:pPr>
          </w:p>
        </w:tc>
        <w:tc>
          <w:tcPr>
            <w:tcW w:w="169" w:type="pct"/>
            <w:shd w:val="clear" w:color="auto" w:fill="auto"/>
            <w:vAlign w:val="center"/>
          </w:tcPr>
          <w:p w14:paraId="080EBD05" w14:textId="77777777" w:rsidR="002E196A" w:rsidRPr="009163A6" w:rsidRDefault="002E196A" w:rsidP="00322B8D">
            <w:pPr>
              <w:spacing w:before="240" w:after="0"/>
              <w:jc w:val="center"/>
              <w:rPr>
                <w:rFonts w:asciiTheme="minorHAnsi" w:hAnsiTheme="minorHAnsi" w:cstheme="minorHAnsi"/>
                <w:b/>
                <w:szCs w:val="22"/>
              </w:rPr>
            </w:pPr>
            <w:r w:rsidRPr="009163A6">
              <w:rPr>
                <w:rFonts w:asciiTheme="minorHAnsi" w:hAnsiTheme="minorHAnsi" w:cstheme="minorHAnsi"/>
                <w:b/>
                <w:szCs w:val="22"/>
              </w:rPr>
              <w:t>6.2</w:t>
            </w:r>
          </w:p>
        </w:tc>
        <w:tc>
          <w:tcPr>
            <w:tcW w:w="703" w:type="pct"/>
            <w:tcBorders>
              <w:bottom w:val="single" w:sz="4" w:space="0" w:color="auto"/>
            </w:tcBorders>
            <w:shd w:val="clear" w:color="auto" w:fill="auto"/>
            <w:vAlign w:val="center"/>
          </w:tcPr>
          <w:p w14:paraId="3876237C" w14:textId="77777777" w:rsidR="002E196A" w:rsidRPr="009163A6" w:rsidRDefault="002E196A" w:rsidP="00322B8D">
            <w:pPr>
              <w:spacing w:before="240" w:after="0"/>
              <w:rPr>
                <w:rFonts w:asciiTheme="minorHAnsi" w:hAnsiTheme="minorHAnsi" w:cstheme="minorHAnsi"/>
                <w:b/>
                <w:szCs w:val="22"/>
              </w:rPr>
            </w:pPr>
            <w:r w:rsidRPr="009163A6">
              <w:rPr>
                <w:rFonts w:asciiTheme="minorHAnsi" w:hAnsiTheme="minorHAnsi" w:cstheme="minorHAnsi"/>
                <w:b/>
                <w:szCs w:val="22"/>
              </w:rPr>
              <w:t>At least three meetings of the Sector User Group are held annually</w:t>
            </w:r>
          </w:p>
        </w:tc>
        <w:tc>
          <w:tcPr>
            <w:tcW w:w="930" w:type="pct"/>
            <w:tcBorders>
              <w:bottom w:val="single" w:sz="4" w:space="0" w:color="auto"/>
            </w:tcBorders>
            <w:shd w:val="clear" w:color="auto" w:fill="auto"/>
            <w:vAlign w:val="center"/>
          </w:tcPr>
          <w:p w14:paraId="273C2E81" w14:textId="77777777" w:rsidR="00322B8D" w:rsidRPr="009163A6" w:rsidRDefault="00322B8D" w:rsidP="00322B8D">
            <w:pPr>
              <w:spacing w:before="240" w:after="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3 meetings of the </w:t>
            </w:r>
            <w:r w:rsidR="009C1DE7" w:rsidRPr="009163A6">
              <w:rPr>
                <w:rFonts w:asciiTheme="minorHAnsi" w:hAnsiTheme="minorHAnsi" w:cstheme="minorHAnsi"/>
                <w:color w:val="1F497D" w:themeColor="text2"/>
                <w:szCs w:val="22"/>
              </w:rPr>
              <w:t xml:space="preserve">Sector </w:t>
            </w:r>
            <w:r w:rsidRPr="009163A6">
              <w:rPr>
                <w:rFonts w:asciiTheme="minorHAnsi" w:hAnsiTheme="minorHAnsi" w:cstheme="minorHAnsi"/>
                <w:color w:val="1F497D" w:themeColor="text2"/>
                <w:szCs w:val="22"/>
              </w:rPr>
              <w:t>User Group were held in 2017-18</w:t>
            </w:r>
          </w:p>
          <w:p w14:paraId="4AD0D844" w14:textId="77777777" w:rsidR="002E196A" w:rsidRPr="009163A6" w:rsidRDefault="00322B8D" w:rsidP="00322B8D">
            <w:pPr>
              <w:spacing w:before="240" w:after="0"/>
              <w:rPr>
                <w:rFonts w:asciiTheme="minorHAnsi" w:hAnsiTheme="minorHAnsi" w:cstheme="minorHAnsi"/>
                <w:szCs w:val="22"/>
                <w:highlight w:val="yellow"/>
              </w:rPr>
            </w:pPr>
            <w:r w:rsidRPr="009163A6">
              <w:rPr>
                <w:rFonts w:asciiTheme="minorHAnsi" w:hAnsiTheme="minorHAnsi" w:cstheme="minorHAnsi"/>
                <w:szCs w:val="22"/>
                <w:highlight w:val="yellow"/>
              </w:rPr>
              <w:t xml:space="preserve"> </w:t>
            </w:r>
          </w:p>
        </w:tc>
        <w:tc>
          <w:tcPr>
            <w:tcW w:w="234" w:type="pct"/>
            <w:tcBorders>
              <w:bottom w:val="single" w:sz="4" w:space="0" w:color="auto"/>
            </w:tcBorders>
            <w:shd w:val="clear" w:color="auto" w:fill="auto"/>
          </w:tcPr>
          <w:p w14:paraId="49057488" w14:textId="77777777" w:rsidR="00F97618" w:rsidRPr="009163A6" w:rsidRDefault="00F97618" w:rsidP="00F97618">
            <w:pPr>
              <w:spacing w:after="0"/>
              <w:jc w:val="center"/>
              <w:rPr>
                <w:rFonts w:asciiTheme="minorHAnsi" w:hAnsiTheme="minorHAnsi" w:cstheme="minorHAnsi"/>
                <w:noProof/>
                <w:color w:val="1F497D" w:themeColor="text2"/>
                <w:szCs w:val="22"/>
                <w:lang w:eastAsia="en-AU"/>
              </w:rPr>
            </w:pPr>
          </w:p>
          <w:p w14:paraId="71545859" w14:textId="77777777" w:rsidR="00F97618" w:rsidRPr="009163A6" w:rsidRDefault="00F97618" w:rsidP="00F97618">
            <w:pPr>
              <w:spacing w:after="0"/>
              <w:jc w:val="center"/>
              <w:rPr>
                <w:rFonts w:asciiTheme="minorHAnsi" w:hAnsiTheme="minorHAnsi" w:cstheme="minorHAnsi"/>
                <w:noProof/>
                <w:color w:val="1F497D" w:themeColor="text2"/>
                <w:szCs w:val="22"/>
                <w:lang w:eastAsia="en-AU"/>
              </w:rPr>
            </w:pPr>
          </w:p>
          <w:p w14:paraId="4BCE5175" w14:textId="77777777" w:rsidR="002E196A" w:rsidRPr="009163A6" w:rsidRDefault="002E196A" w:rsidP="00F97618">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54316D15" wp14:editId="0732B0C0">
                  <wp:extent cx="201295" cy="21336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tcBorders>
              <w:bottom w:val="single" w:sz="4" w:space="0" w:color="auto"/>
            </w:tcBorders>
            <w:shd w:val="clear" w:color="auto" w:fill="auto"/>
          </w:tcPr>
          <w:p w14:paraId="4517CA8C" w14:textId="77777777" w:rsidR="00504CFC" w:rsidRPr="009163A6" w:rsidRDefault="00504CFC" w:rsidP="00504CF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In 2017–18, we convened three meetings of the Sector User Group (SUG). The SUG helped to improve the ACNC’s regulatory approach and guidance products. They also reviewed the ACNC’s 2016-17 RPF</w:t>
            </w:r>
            <w:r w:rsidR="00892F8E" w:rsidRPr="009163A6">
              <w:rPr>
                <w:rFonts w:asciiTheme="minorHAnsi" w:hAnsiTheme="minorHAnsi" w:cstheme="minorHAnsi"/>
                <w:color w:val="1F497D" w:themeColor="text2"/>
                <w:szCs w:val="22"/>
              </w:rPr>
              <w:t xml:space="preserve"> report</w:t>
            </w:r>
            <w:r w:rsidRPr="009163A6">
              <w:rPr>
                <w:rFonts w:asciiTheme="minorHAnsi" w:hAnsiTheme="minorHAnsi" w:cstheme="minorHAnsi"/>
                <w:color w:val="1F497D" w:themeColor="text2"/>
                <w:szCs w:val="22"/>
              </w:rPr>
              <w:t>.</w:t>
            </w:r>
          </w:p>
          <w:p w14:paraId="3CC23CEB" w14:textId="77777777" w:rsidR="002E196A" w:rsidRPr="009163A6" w:rsidRDefault="00504CFC" w:rsidP="00504CFC">
            <w:pPr>
              <w:spacing w:before="120"/>
              <w:rPr>
                <w:rFonts w:asciiTheme="minorHAnsi" w:hAnsiTheme="minorHAnsi" w:cstheme="minorHAnsi"/>
                <w:color w:val="1F497D" w:themeColor="text2"/>
                <w:szCs w:val="22"/>
              </w:rPr>
            </w:pPr>
            <w:r w:rsidRPr="009163A6">
              <w:rPr>
                <w:rFonts w:asciiTheme="minorHAnsi" w:hAnsiTheme="minorHAnsi" w:cstheme="minorHAnsi"/>
                <w:i/>
                <w:color w:val="1F497D" w:themeColor="text2"/>
                <w:szCs w:val="22"/>
              </w:rPr>
              <w:t>For f</w:t>
            </w:r>
            <w:r w:rsidR="00114AC9" w:rsidRPr="009163A6">
              <w:rPr>
                <w:rFonts w:asciiTheme="minorHAnsi" w:hAnsiTheme="minorHAnsi" w:cstheme="minorHAnsi"/>
                <w:i/>
                <w:color w:val="1F497D" w:themeColor="text2"/>
                <w:szCs w:val="22"/>
              </w:rPr>
              <w:t>urther information, refer to 1.1</w:t>
            </w:r>
            <w:r w:rsidRPr="009163A6">
              <w:rPr>
                <w:rFonts w:asciiTheme="minorHAnsi" w:hAnsiTheme="minorHAnsi" w:cstheme="minorHAnsi"/>
                <w:i/>
                <w:color w:val="1F497D" w:themeColor="text2"/>
                <w:szCs w:val="22"/>
              </w:rPr>
              <w:t>.</w:t>
            </w:r>
          </w:p>
        </w:tc>
      </w:tr>
      <w:tr w:rsidR="002E196A" w:rsidRPr="009163A6" w14:paraId="56AAF44B" w14:textId="77777777" w:rsidTr="009C0793">
        <w:trPr>
          <w:trHeight w:val="629"/>
        </w:trPr>
        <w:tc>
          <w:tcPr>
            <w:tcW w:w="96" w:type="pct"/>
            <w:vMerge/>
            <w:shd w:val="clear" w:color="auto" w:fill="D9D9D9" w:themeFill="background1" w:themeFillShade="D9"/>
            <w:vAlign w:val="center"/>
          </w:tcPr>
          <w:p w14:paraId="7C14FB57" w14:textId="77777777" w:rsidR="002E196A" w:rsidRPr="009163A6" w:rsidRDefault="002E196A" w:rsidP="002E196A">
            <w:pPr>
              <w:spacing w:after="0"/>
              <w:jc w:val="center"/>
              <w:rPr>
                <w:rFonts w:asciiTheme="minorHAnsi" w:hAnsiTheme="minorHAnsi" w:cstheme="minorHAnsi"/>
                <w:b/>
                <w:szCs w:val="22"/>
              </w:rPr>
            </w:pPr>
          </w:p>
        </w:tc>
        <w:tc>
          <w:tcPr>
            <w:tcW w:w="604" w:type="pct"/>
            <w:vMerge/>
            <w:shd w:val="clear" w:color="auto" w:fill="auto"/>
            <w:vAlign w:val="center"/>
          </w:tcPr>
          <w:p w14:paraId="4BFB25EE" w14:textId="77777777" w:rsidR="002E196A" w:rsidRPr="009163A6" w:rsidRDefault="002E196A" w:rsidP="002E196A">
            <w:pPr>
              <w:spacing w:after="0"/>
              <w:rPr>
                <w:rFonts w:asciiTheme="minorHAnsi" w:hAnsiTheme="minorHAnsi" w:cstheme="minorHAnsi"/>
                <w:szCs w:val="22"/>
              </w:rPr>
            </w:pPr>
          </w:p>
        </w:tc>
        <w:tc>
          <w:tcPr>
            <w:tcW w:w="169" w:type="pct"/>
            <w:shd w:val="clear" w:color="auto" w:fill="auto"/>
            <w:vAlign w:val="center"/>
          </w:tcPr>
          <w:p w14:paraId="7CEAE676"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6.3</w:t>
            </w:r>
          </w:p>
        </w:tc>
        <w:tc>
          <w:tcPr>
            <w:tcW w:w="703" w:type="pct"/>
            <w:tcBorders>
              <w:bottom w:val="single" w:sz="4" w:space="0" w:color="auto"/>
            </w:tcBorders>
            <w:shd w:val="clear" w:color="auto" w:fill="auto"/>
            <w:vAlign w:val="center"/>
          </w:tcPr>
          <w:p w14:paraId="5A983640"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 xml:space="preserve">Stakeholder engagement framework outlines how the ACNC will engage with stakeholders to reduce regulatory burden and enhance </w:t>
            </w:r>
            <w:r w:rsidRPr="009163A6">
              <w:rPr>
                <w:rFonts w:asciiTheme="minorHAnsi" w:hAnsiTheme="minorHAnsi" w:cstheme="minorHAnsi"/>
                <w:b/>
                <w:szCs w:val="22"/>
              </w:rPr>
              <w:lastRenderedPageBreak/>
              <w:t>knowledge of the regulated sector</w:t>
            </w:r>
          </w:p>
        </w:tc>
        <w:tc>
          <w:tcPr>
            <w:tcW w:w="930" w:type="pct"/>
            <w:tcBorders>
              <w:bottom w:val="single" w:sz="4" w:space="0" w:color="auto"/>
            </w:tcBorders>
            <w:shd w:val="clear" w:color="auto" w:fill="auto"/>
            <w:vAlign w:val="center"/>
          </w:tcPr>
          <w:p w14:paraId="1C6618FB" w14:textId="77777777" w:rsidR="002E196A" w:rsidRPr="009163A6" w:rsidRDefault="002E196A" w:rsidP="002E196A">
            <w:pPr>
              <w:spacing w:after="0"/>
              <w:rPr>
                <w:rFonts w:asciiTheme="minorHAnsi" w:hAnsiTheme="minorHAnsi" w:cstheme="minorHAnsi"/>
                <w:b/>
                <w:szCs w:val="22"/>
              </w:rPr>
            </w:pPr>
          </w:p>
          <w:p w14:paraId="13D925F6" w14:textId="77777777" w:rsidR="002E196A" w:rsidRPr="009163A6" w:rsidRDefault="002E196A" w:rsidP="002E196A">
            <w:pPr>
              <w:spacing w:after="0"/>
              <w:rPr>
                <w:rFonts w:asciiTheme="minorHAnsi" w:hAnsiTheme="minorHAnsi" w:cstheme="minorHAnsi"/>
                <w:color w:val="1F497D" w:themeColor="text2"/>
                <w:szCs w:val="22"/>
                <w:highlight w:val="yellow"/>
              </w:rPr>
            </w:pPr>
            <w:r w:rsidRPr="009163A6">
              <w:rPr>
                <w:rFonts w:asciiTheme="minorHAnsi" w:hAnsiTheme="minorHAnsi" w:cstheme="minorHAnsi"/>
                <w:color w:val="1F497D" w:themeColor="text2"/>
                <w:szCs w:val="22"/>
              </w:rPr>
              <w:t>The ACNC</w:t>
            </w:r>
            <w:r w:rsidR="00504CFC" w:rsidRPr="009163A6">
              <w:rPr>
                <w:rFonts w:asciiTheme="minorHAnsi" w:hAnsiTheme="minorHAnsi" w:cstheme="minorHAnsi"/>
                <w:color w:val="1F497D" w:themeColor="text2"/>
                <w:szCs w:val="22"/>
              </w:rPr>
              <w:t>’S</w:t>
            </w:r>
            <w:r w:rsidRPr="009163A6">
              <w:rPr>
                <w:rFonts w:asciiTheme="minorHAnsi" w:hAnsiTheme="minorHAnsi" w:cstheme="minorHAnsi"/>
                <w:color w:val="1F497D" w:themeColor="text2"/>
                <w:szCs w:val="22"/>
              </w:rPr>
              <w:t xml:space="preserve"> Stakeholder Engagement Framework was </w:t>
            </w:r>
            <w:r w:rsidR="00322B8D" w:rsidRPr="009163A6">
              <w:rPr>
                <w:rFonts w:asciiTheme="minorHAnsi" w:hAnsiTheme="minorHAnsi" w:cstheme="minorHAnsi"/>
                <w:color w:val="1F497D" w:themeColor="text2"/>
                <w:szCs w:val="22"/>
              </w:rPr>
              <w:t>available on the ACNC’s website throughout 2017-18</w:t>
            </w:r>
          </w:p>
          <w:p w14:paraId="0C91FA81" w14:textId="77777777" w:rsidR="002E196A" w:rsidRPr="009163A6" w:rsidRDefault="002E196A" w:rsidP="002E196A">
            <w:pPr>
              <w:spacing w:after="0"/>
              <w:rPr>
                <w:rFonts w:asciiTheme="minorHAnsi" w:hAnsiTheme="minorHAnsi" w:cstheme="minorHAnsi"/>
                <w:szCs w:val="22"/>
                <w:highlight w:val="yellow"/>
              </w:rPr>
            </w:pPr>
          </w:p>
          <w:p w14:paraId="5743D9D0" w14:textId="77777777" w:rsidR="002E196A" w:rsidRPr="009163A6" w:rsidRDefault="002E196A" w:rsidP="002E196A">
            <w:pPr>
              <w:spacing w:after="0"/>
              <w:rPr>
                <w:rFonts w:asciiTheme="minorHAnsi" w:hAnsiTheme="minorHAnsi" w:cstheme="minorHAnsi"/>
                <w:szCs w:val="22"/>
                <w:highlight w:val="yellow"/>
              </w:rPr>
            </w:pPr>
          </w:p>
        </w:tc>
        <w:tc>
          <w:tcPr>
            <w:tcW w:w="234" w:type="pct"/>
            <w:tcBorders>
              <w:bottom w:val="single" w:sz="4" w:space="0" w:color="auto"/>
            </w:tcBorders>
            <w:shd w:val="clear" w:color="auto" w:fill="auto"/>
          </w:tcPr>
          <w:p w14:paraId="6107EE2E" w14:textId="77777777" w:rsidR="002E196A" w:rsidRPr="009163A6" w:rsidRDefault="002E196A" w:rsidP="00E71D9C">
            <w:pPr>
              <w:spacing w:before="120"/>
              <w:jc w:val="center"/>
              <w:rPr>
                <w:rFonts w:asciiTheme="minorHAnsi" w:hAnsiTheme="minorHAnsi" w:cstheme="minorHAnsi"/>
                <w:noProof/>
                <w:color w:val="1F497D" w:themeColor="text2"/>
                <w:szCs w:val="22"/>
                <w:highlight w:val="yellow"/>
                <w:lang w:eastAsia="en-AU"/>
              </w:rPr>
            </w:pPr>
          </w:p>
          <w:p w14:paraId="084950F4" w14:textId="77777777" w:rsidR="00F97618" w:rsidRPr="009163A6" w:rsidRDefault="00F97618" w:rsidP="00E71D9C">
            <w:pPr>
              <w:spacing w:before="120"/>
              <w:jc w:val="center"/>
              <w:rPr>
                <w:rFonts w:asciiTheme="minorHAnsi" w:hAnsiTheme="minorHAnsi" w:cstheme="minorHAnsi"/>
                <w:noProof/>
                <w:color w:val="1F497D" w:themeColor="text2"/>
                <w:szCs w:val="22"/>
                <w:lang w:eastAsia="en-AU"/>
              </w:rPr>
            </w:pPr>
          </w:p>
          <w:p w14:paraId="7FB345E0" w14:textId="77777777" w:rsidR="002E196A" w:rsidRPr="009163A6" w:rsidRDefault="002E196A" w:rsidP="00E71D9C">
            <w:pPr>
              <w:spacing w:before="12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3EB35B5D" wp14:editId="01C4DFAC">
                  <wp:extent cx="201295" cy="213360"/>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p w14:paraId="1B8CAD25" w14:textId="77777777" w:rsidR="00F97618" w:rsidRPr="009163A6" w:rsidRDefault="00F97618" w:rsidP="00E71D9C">
            <w:pPr>
              <w:spacing w:before="120"/>
              <w:jc w:val="center"/>
              <w:rPr>
                <w:rFonts w:asciiTheme="minorHAnsi" w:hAnsiTheme="minorHAnsi" w:cstheme="minorHAnsi"/>
                <w:noProof/>
                <w:color w:val="1F497D" w:themeColor="text2"/>
                <w:szCs w:val="22"/>
                <w:highlight w:val="yellow"/>
                <w:lang w:eastAsia="en-AU"/>
              </w:rPr>
            </w:pPr>
          </w:p>
        </w:tc>
        <w:tc>
          <w:tcPr>
            <w:tcW w:w="2264" w:type="pct"/>
            <w:tcBorders>
              <w:bottom w:val="single" w:sz="4" w:space="0" w:color="auto"/>
            </w:tcBorders>
            <w:shd w:val="clear" w:color="auto" w:fill="auto"/>
          </w:tcPr>
          <w:p w14:paraId="7EDB2733" w14:textId="77777777" w:rsidR="00E71D9C" w:rsidRPr="009163A6" w:rsidRDefault="002E196A"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ACNC</w:t>
            </w:r>
            <w:r w:rsidR="00504CFC" w:rsidRPr="009163A6">
              <w:rPr>
                <w:rFonts w:asciiTheme="minorHAnsi" w:hAnsiTheme="minorHAnsi" w:cstheme="minorHAnsi"/>
                <w:color w:val="1F497D" w:themeColor="text2"/>
                <w:szCs w:val="22"/>
              </w:rPr>
              <w:t xml:space="preserve">’S stakeholder engagement framework outlines </w:t>
            </w:r>
            <w:r w:rsidRPr="009163A6">
              <w:rPr>
                <w:rFonts w:asciiTheme="minorHAnsi" w:hAnsiTheme="minorHAnsi" w:cstheme="minorHAnsi"/>
                <w:color w:val="1F497D" w:themeColor="text2"/>
                <w:szCs w:val="22"/>
              </w:rPr>
              <w:t>ou</w:t>
            </w:r>
            <w:r w:rsidR="00504CFC" w:rsidRPr="009163A6">
              <w:rPr>
                <w:rFonts w:asciiTheme="minorHAnsi" w:hAnsiTheme="minorHAnsi" w:cstheme="minorHAnsi"/>
                <w:color w:val="1F497D" w:themeColor="text2"/>
                <w:szCs w:val="22"/>
              </w:rPr>
              <w:t xml:space="preserve">r approach to consultation and the </w:t>
            </w:r>
            <w:r w:rsidRPr="009163A6">
              <w:rPr>
                <w:rFonts w:asciiTheme="minorHAnsi" w:hAnsiTheme="minorHAnsi" w:cstheme="minorHAnsi"/>
                <w:color w:val="1F497D" w:themeColor="text2"/>
                <w:szCs w:val="22"/>
              </w:rPr>
              <w:t>mechanisms we may use</w:t>
            </w:r>
            <w:r w:rsidR="00504CFC" w:rsidRPr="009163A6">
              <w:rPr>
                <w:rFonts w:asciiTheme="minorHAnsi" w:hAnsiTheme="minorHAnsi" w:cstheme="minorHAnsi"/>
                <w:color w:val="1F497D" w:themeColor="text2"/>
                <w:szCs w:val="22"/>
              </w:rPr>
              <w:t>. For example, this framework outlines our commitment to reduce the regulatory burden on charities by providing accurate, timely and relevant information to charities to help them understand and meet their obligations to the ACNC in a way that minimises the impact on their time and resources.</w:t>
            </w:r>
            <w:r w:rsidR="005E7922" w:rsidRPr="009163A6">
              <w:rPr>
                <w:rFonts w:asciiTheme="minorHAnsi" w:hAnsiTheme="minorHAnsi" w:cstheme="minorHAnsi"/>
                <w:color w:val="1F497D" w:themeColor="text2"/>
                <w:szCs w:val="22"/>
              </w:rPr>
              <w:t xml:space="preserve"> </w:t>
            </w:r>
            <w:r w:rsidR="00504CFC" w:rsidRPr="009163A6">
              <w:rPr>
                <w:rFonts w:asciiTheme="minorHAnsi" w:hAnsiTheme="minorHAnsi" w:cstheme="minorHAnsi"/>
                <w:color w:val="1F497D" w:themeColor="text2"/>
                <w:szCs w:val="22"/>
              </w:rPr>
              <w:t xml:space="preserve">This framework is available </w:t>
            </w:r>
            <w:r w:rsidR="005E7922" w:rsidRPr="009163A6">
              <w:rPr>
                <w:rFonts w:asciiTheme="minorHAnsi" w:hAnsiTheme="minorHAnsi" w:cstheme="minorHAnsi"/>
                <w:color w:val="1F497D" w:themeColor="text2"/>
                <w:szCs w:val="22"/>
              </w:rPr>
              <w:t xml:space="preserve">at </w:t>
            </w:r>
            <w:hyperlink r:id="rId80" w:history="1">
              <w:r w:rsidRPr="009163A6">
                <w:rPr>
                  <w:rFonts w:asciiTheme="minorHAnsi" w:hAnsiTheme="minorHAnsi" w:cstheme="minorHAnsi"/>
                  <w:color w:val="0000FF" w:themeColor="hyperlink"/>
                  <w:szCs w:val="22"/>
                  <w:u w:val="single"/>
                  <w:lang w:val="en-GB"/>
                </w:rPr>
                <w:t>acnc.gov.au/stakeholderengagement</w:t>
              </w:r>
            </w:hyperlink>
            <w:r w:rsidRPr="009163A6">
              <w:rPr>
                <w:rFonts w:asciiTheme="minorHAnsi" w:hAnsiTheme="minorHAnsi" w:cstheme="minorHAnsi"/>
                <w:color w:val="1F497D" w:themeColor="text2"/>
                <w:szCs w:val="22"/>
              </w:rPr>
              <w:t xml:space="preserve">. </w:t>
            </w:r>
          </w:p>
          <w:p w14:paraId="387BC9A9" w14:textId="77777777" w:rsidR="002E196A" w:rsidRPr="009163A6" w:rsidRDefault="002E196A"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lastRenderedPageBreak/>
              <w:t xml:space="preserve">The ACNC </w:t>
            </w:r>
            <w:r w:rsidR="00504CFC" w:rsidRPr="009163A6">
              <w:rPr>
                <w:rFonts w:asciiTheme="minorHAnsi" w:hAnsiTheme="minorHAnsi" w:cstheme="minorHAnsi"/>
                <w:color w:val="1F497D" w:themeColor="text2"/>
                <w:szCs w:val="22"/>
              </w:rPr>
              <w:t xml:space="preserve">has also published </w:t>
            </w:r>
            <w:r w:rsidRPr="009163A6">
              <w:rPr>
                <w:rFonts w:asciiTheme="minorHAnsi" w:hAnsiTheme="minorHAnsi" w:cstheme="minorHAnsi"/>
                <w:color w:val="1F497D" w:themeColor="text2"/>
                <w:szCs w:val="22"/>
              </w:rPr>
              <w:t>an Aboriginal and Torres Strait Islander Communities Engagement Strategy,</w:t>
            </w:r>
            <w:r w:rsidR="00504CFC" w:rsidRPr="009163A6">
              <w:rPr>
                <w:rFonts w:asciiTheme="minorHAnsi" w:hAnsiTheme="minorHAnsi" w:cstheme="minorHAnsi"/>
                <w:color w:val="1F497D" w:themeColor="text2"/>
                <w:szCs w:val="22"/>
              </w:rPr>
              <w:t xml:space="preserve"> which can be found at</w:t>
            </w:r>
            <w:r w:rsidRPr="009163A6">
              <w:rPr>
                <w:rFonts w:asciiTheme="minorHAnsi" w:hAnsiTheme="minorHAnsi" w:cstheme="minorHAnsi"/>
                <w:color w:val="1F497D" w:themeColor="text2"/>
                <w:szCs w:val="22"/>
              </w:rPr>
              <w:t xml:space="preserve"> </w:t>
            </w:r>
            <w:hyperlink r:id="rId81" w:history="1">
              <w:r w:rsidRPr="009163A6">
                <w:rPr>
                  <w:rFonts w:asciiTheme="minorHAnsi" w:hAnsiTheme="minorHAnsi" w:cstheme="minorHAnsi"/>
                  <w:color w:val="0000FF" w:themeColor="hyperlink"/>
                  <w:szCs w:val="22"/>
                  <w:u w:val="single"/>
                </w:rPr>
                <w:t>acnc.gov.au/ATSICommunityEngagement</w:t>
              </w:r>
            </w:hyperlink>
            <w:r w:rsidRPr="009163A6">
              <w:rPr>
                <w:rFonts w:asciiTheme="minorHAnsi" w:hAnsiTheme="minorHAnsi" w:cstheme="minorHAnsi"/>
                <w:color w:val="1F497D" w:themeColor="text2"/>
                <w:szCs w:val="22"/>
              </w:rPr>
              <w:t>.</w:t>
            </w:r>
          </w:p>
          <w:p w14:paraId="7FF4353A" w14:textId="77777777" w:rsidR="002E196A" w:rsidRPr="009163A6" w:rsidRDefault="00E71D9C" w:rsidP="00E71D9C">
            <w:pPr>
              <w:spacing w:before="120"/>
              <w:rPr>
                <w:rFonts w:asciiTheme="minorHAnsi" w:hAnsiTheme="minorHAnsi" w:cstheme="minorHAnsi"/>
                <w:color w:val="1F497D" w:themeColor="text2"/>
                <w:szCs w:val="22"/>
                <w:highlight w:val="yellow"/>
              </w:rPr>
            </w:pPr>
            <w:r w:rsidRPr="009163A6">
              <w:rPr>
                <w:rFonts w:asciiTheme="minorHAnsi" w:hAnsiTheme="minorHAnsi" w:cstheme="minorHAnsi"/>
                <w:i/>
                <w:color w:val="1F497D" w:themeColor="text2"/>
                <w:szCs w:val="22"/>
                <w:lang w:val="en-GB"/>
              </w:rPr>
              <w:t>For further information, refer to 4.6.</w:t>
            </w:r>
          </w:p>
        </w:tc>
      </w:tr>
      <w:tr w:rsidR="002E196A" w:rsidRPr="009163A6" w14:paraId="1C2D414A" w14:textId="77777777" w:rsidTr="00760E04">
        <w:trPr>
          <w:trHeight w:val="629"/>
        </w:trPr>
        <w:tc>
          <w:tcPr>
            <w:tcW w:w="96" w:type="pct"/>
            <w:shd w:val="clear" w:color="auto" w:fill="D9D9D9" w:themeFill="background1" w:themeFillShade="D9"/>
            <w:vAlign w:val="center"/>
          </w:tcPr>
          <w:p w14:paraId="776AD5C2"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lastRenderedPageBreak/>
              <w:t>B</w:t>
            </w:r>
          </w:p>
        </w:tc>
        <w:tc>
          <w:tcPr>
            <w:tcW w:w="604" w:type="pct"/>
            <w:shd w:val="clear" w:color="auto" w:fill="auto"/>
            <w:vAlign w:val="center"/>
          </w:tcPr>
          <w:p w14:paraId="58975E9F"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engage stakeholders in the development of options to reduce compliance costs. This could include industry self-regulation, changes to the overarching regulatory framework, or other strategies to streamline monitoring and compliance approaches.</w:t>
            </w:r>
          </w:p>
        </w:tc>
        <w:tc>
          <w:tcPr>
            <w:tcW w:w="169" w:type="pct"/>
            <w:shd w:val="clear" w:color="auto" w:fill="D9D9D9" w:themeFill="background1" w:themeFillShade="D9"/>
            <w:vAlign w:val="center"/>
          </w:tcPr>
          <w:p w14:paraId="4215F060"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6.4</w:t>
            </w:r>
          </w:p>
        </w:tc>
        <w:tc>
          <w:tcPr>
            <w:tcW w:w="1633" w:type="pct"/>
            <w:gridSpan w:val="2"/>
            <w:tcBorders>
              <w:bottom w:val="single" w:sz="4" w:space="0" w:color="auto"/>
            </w:tcBorders>
            <w:shd w:val="clear" w:color="auto" w:fill="auto"/>
            <w:vAlign w:val="center"/>
          </w:tcPr>
          <w:p w14:paraId="5EB35AF4" w14:textId="77777777" w:rsidR="002E196A" w:rsidRPr="009163A6" w:rsidRDefault="002E196A" w:rsidP="002E196A">
            <w:pPr>
              <w:spacing w:after="0"/>
              <w:rPr>
                <w:rFonts w:asciiTheme="minorHAnsi" w:hAnsiTheme="minorHAnsi" w:cstheme="minorHAnsi"/>
                <w:szCs w:val="22"/>
                <w:highlight w:val="yellow"/>
              </w:rPr>
            </w:pPr>
            <w:r w:rsidRPr="009163A6">
              <w:rPr>
                <w:rFonts w:asciiTheme="minorHAnsi" w:hAnsiTheme="minorHAnsi" w:cstheme="minorHAnsi"/>
                <w:szCs w:val="22"/>
              </w:rPr>
              <w:t>See 6.1, 6.2 and 6.3</w:t>
            </w:r>
          </w:p>
        </w:tc>
        <w:tc>
          <w:tcPr>
            <w:tcW w:w="234" w:type="pct"/>
            <w:tcBorders>
              <w:bottom w:val="single" w:sz="4" w:space="0" w:color="auto"/>
            </w:tcBorders>
            <w:shd w:val="clear" w:color="auto" w:fill="auto"/>
          </w:tcPr>
          <w:p w14:paraId="21B538CE"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4050FB78"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7DCC131E"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19064EA7"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22040DC0"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78C577A3" wp14:editId="4A8BA439">
                  <wp:extent cx="201295" cy="21336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tcBorders>
              <w:bottom w:val="single" w:sz="4" w:space="0" w:color="auto"/>
            </w:tcBorders>
            <w:shd w:val="clear" w:color="auto" w:fill="auto"/>
          </w:tcPr>
          <w:p w14:paraId="10903141" w14:textId="77777777" w:rsidR="002E196A" w:rsidRPr="009163A6" w:rsidRDefault="00C7689E"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w:t>
            </w:r>
            <w:r w:rsidR="002E196A" w:rsidRPr="009163A6">
              <w:rPr>
                <w:rFonts w:asciiTheme="minorHAnsi" w:hAnsiTheme="minorHAnsi" w:cstheme="minorHAnsi"/>
                <w:color w:val="1F497D" w:themeColor="text2"/>
                <w:szCs w:val="22"/>
              </w:rPr>
              <w:t xml:space="preserve">he ACNC continued to work with state, territory and Commonwealth governments </w:t>
            </w:r>
            <w:r w:rsidR="009E6DE6" w:rsidRPr="009163A6">
              <w:rPr>
                <w:rFonts w:asciiTheme="minorHAnsi" w:hAnsiTheme="minorHAnsi" w:cstheme="minorHAnsi"/>
                <w:color w:val="1F497D" w:themeColor="text2"/>
                <w:szCs w:val="22"/>
              </w:rPr>
              <w:t xml:space="preserve">to reduce red tape, focusing on </w:t>
            </w:r>
            <w:r w:rsidR="002E196A" w:rsidRPr="009163A6">
              <w:rPr>
                <w:rFonts w:asciiTheme="minorHAnsi" w:hAnsiTheme="minorHAnsi" w:cstheme="minorHAnsi"/>
                <w:color w:val="1F497D" w:themeColor="text2"/>
                <w:szCs w:val="22"/>
              </w:rPr>
              <w:t>incorporated association (and cooperative) regulation</w:t>
            </w:r>
            <w:r w:rsidR="009E6DE6" w:rsidRPr="009163A6">
              <w:rPr>
                <w:rFonts w:asciiTheme="minorHAnsi" w:hAnsiTheme="minorHAnsi" w:cstheme="minorHAnsi"/>
                <w:color w:val="1F497D" w:themeColor="text2"/>
                <w:szCs w:val="22"/>
              </w:rPr>
              <w:t xml:space="preserve"> and </w:t>
            </w:r>
            <w:r w:rsidR="002E196A" w:rsidRPr="009163A6">
              <w:rPr>
                <w:rFonts w:asciiTheme="minorHAnsi" w:hAnsiTheme="minorHAnsi" w:cstheme="minorHAnsi"/>
                <w:color w:val="1F497D" w:themeColor="text2"/>
                <w:szCs w:val="22"/>
              </w:rPr>
              <w:t>fundraising licensing and regulation</w:t>
            </w:r>
            <w:r w:rsidRPr="009163A6">
              <w:rPr>
                <w:rFonts w:asciiTheme="minorHAnsi" w:hAnsiTheme="minorHAnsi" w:cstheme="minorHAnsi"/>
                <w:color w:val="1F497D" w:themeColor="text2"/>
                <w:szCs w:val="22"/>
              </w:rPr>
              <w:t>.</w:t>
            </w:r>
          </w:p>
          <w:p w14:paraId="06BE4E6D" w14:textId="77777777" w:rsidR="00403732" w:rsidRPr="009163A6" w:rsidRDefault="00403732" w:rsidP="008963E0">
            <w:pPr>
              <w:pStyle w:val="BodyText2"/>
              <w:spacing w:before="120" w:after="120"/>
              <w:rPr>
                <w:rFonts w:asciiTheme="minorHAnsi" w:hAnsiTheme="minorHAnsi" w:cstheme="minorHAnsi"/>
                <w:b/>
                <w:color w:val="1F497D" w:themeColor="text2"/>
              </w:rPr>
            </w:pPr>
            <w:r w:rsidRPr="009163A6">
              <w:rPr>
                <w:rFonts w:asciiTheme="minorHAnsi" w:hAnsiTheme="minorHAnsi" w:cstheme="minorHAnsi"/>
                <w:b/>
                <w:color w:val="1F497D" w:themeColor="text2"/>
              </w:rPr>
              <w:t>ACNC submission into review of the ACNC legislation</w:t>
            </w:r>
          </w:p>
          <w:p w14:paraId="4DD36DD5" w14:textId="77777777" w:rsidR="0098276C" w:rsidRPr="009163A6" w:rsidRDefault="0098276C" w:rsidP="0098276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In December 2017, the </w:t>
            </w:r>
            <w:r w:rsidR="004049BF" w:rsidRPr="009163A6">
              <w:rPr>
                <w:rFonts w:asciiTheme="minorHAnsi" w:hAnsiTheme="minorHAnsi" w:cstheme="minorHAnsi"/>
                <w:color w:val="1F497D" w:themeColor="text2"/>
                <w:szCs w:val="22"/>
              </w:rPr>
              <w:t>Australian</w:t>
            </w:r>
            <w:r w:rsidRPr="009163A6">
              <w:rPr>
                <w:rFonts w:asciiTheme="minorHAnsi" w:hAnsiTheme="minorHAnsi" w:cstheme="minorHAnsi"/>
                <w:color w:val="1F497D" w:themeColor="text2"/>
                <w:szCs w:val="22"/>
              </w:rPr>
              <w:t xml:space="preserve"> government released the terms of reference for a review of the ACNC legislation. The ACNC provided a </w:t>
            </w:r>
            <w:hyperlink r:id="rId82" w:history="1">
              <w:r w:rsidRPr="009E4556">
                <w:rPr>
                  <w:rStyle w:val="Hyperlink"/>
                  <w:rFonts w:asciiTheme="minorHAnsi" w:hAnsiTheme="minorHAnsi" w:cstheme="minorHAnsi"/>
                  <w:szCs w:val="22"/>
                </w:rPr>
                <w:t>comprehensive submission</w:t>
              </w:r>
            </w:hyperlink>
            <w:r w:rsidRPr="009163A6">
              <w:rPr>
                <w:rFonts w:asciiTheme="minorHAnsi" w:hAnsiTheme="minorHAnsi" w:cstheme="minorHAnsi"/>
                <w:color w:val="1F497D" w:themeColor="text2"/>
                <w:szCs w:val="22"/>
              </w:rPr>
              <w:t xml:space="preserve"> to the panel reviewing the ACNC legislation. The submission was informed by the ACNC’s knowledge of the charity sector and its experience of regulating the sector during the first five years of its operation.  </w:t>
            </w:r>
          </w:p>
          <w:p w14:paraId="43297419" w14:textId="77777777" w:rsidR="0098276C" w:rsidRPr="009163A6" w:rsidRDefault="0098276C" w:rsidP="0098276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ACNC’s submission focussed on areas where changes to the regulatory framework would, in the ACNC’s view:</w:t>
            </w:r>
          </w:p>
          <w:p w14:paraId="2857B641" w14:textId="77777777" w:rsidR="0098276C" w:rsidRPr="009163A6" w:rsidRDefault="0098276C"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enhance the effectiven</w:t>
            </w:r>
            <w:r w:rsidR="000A0AF2" w:rsidRPr="009163A6">
              <w:rPr>
                <w:rFonts w:asciiTheme="minorHAnsi" w:eastAsiaTheme="minorHAnsi" w:hAnsiTheme="minorHAnsi" w:cstheme="minorHAnsi"/>
                <w:color w:val="1F497D" w:themeColor="text2"/>
              </w:rPr>
              <w:t>ess of the regulatory framework</w:t>
            </w:r>
          </w:p>
          <w:p w14:paraId="47F7A6EB" w14:textId="77777777" w:rsidR="0098276C" w:rsidRPr="009163A6" w:rsidRDefault="0098276C"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 xml:space="preserve">increase the accountability and transparency of charities by ensuring the </w:t>
            </w:r>
            <w:r w:rsidR="000A0AF2" w:rsidRPr="009163A6">
              <w:rPr>
                <w:rFonts w:asciiTheme="minorHAnsi" w:eastAsiaTheme="minorHAnsi" w:hAnsiTheme="minorHAnsi" w:cstheme="minorHAnsi"/>
                <w:color w:val="1F497D" w:themeColor="text2"/>
              </w:rPr>
              <w:t>public</w:t>
            </w:r>
            <w:r w:rsidRPr="009163A6">
              <w:rPr>
                <w:rFonts w:asciiTheme="minorHAnsi" w:eastAsiaTheme="minorHAnsi" w:hAnsiTheme="minorHAnsi" w:cstheme="minorHAnsi"/>
                <w:color w:val="1F497D" w:themeColor="text2"/>
              </w:rPr>
              <w:t xml:space="preserve"> has access to relevant information on the ACNC Registe</w:t>
            </w:r>
            <w:r w:rsidR="000A0AF2" w:rsidRPr="009163A6">
              <w:rPr>
                <w:rFonts w:asciiTheme="minorHAnsi" w:eastAsiaTheme="minorHAnsi" w:hAnsiTheme="minorHAnsi" w:cstheme="minorHAnsi"/>
                <w:color w:val="1F497D" w:themeColor="text2"/>
              </w:rPr>
              <w:t>r</w:t>
            </w:r>
          </w:p>
          <w:p w14:paraId="02CB4DE8" w14:textId="77777777" w:rsidR="0098276C" w:rsidRPr="009163A6" w:rsidRDefault="0098276C"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better enable the achievement of the objects of the ACNC Ac</w:t>
            </w:r>
            <w:r w:rsidR="004049BF" w:rsidRPr="009163A6">
              <w:rPr>
                <w:rFonts w:asciiTheme="minorHAnsi" w:eastAsiaTheme="minorHAnsi" w:hAnsiTheme="minorHAnsi" w:cstheme="minorHAnsi"/>
                <w:color w:val="1F497D" w:themeColor="text2"/>
              </w:rPr>
              <w:t>t</w:t>
            </w:r>
          </w:p>
          <w:p w14:paraId="4C786A2A" w14:textId="77777777" w:rsidR="0098276C" w:rsidRPr="009163A6" w:rsidRDefault="0098276C"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 xml:space="preserve">within constitutional constraints, ensure that the ACNC Commissioner has sufficient powers to meet those objects. </w:t>
            </w:r>
          </w:p>
          <w:p w14:paraId="428D9F88" w14:textId="77777777" w:rsidR="0098276C" w:rsidRPr="009163A6" w:rsidRDefault="0098276C" w:rsidP="0098276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submission was made well before the due date and published</w:t>
            </w:r>
            <w:r w:rsidR="00051AC4" w:rsidRPr="009163A6">
              <w:rPr>
                <w:rFonts w:asciiTheme="minorHAnsi" w:hAnsiTheme="minorHAnsi" w:cstheme="minorHAnsi"/>
                <w:color w:val="1F497D" w:themeColor="text2"/>
                <w:szCs w:val="22"/>
              </w:rPr>
              <w:t xml:space="preserve"> </w:t>
            </w:r>
            <w:r w:rsidRPr="009163A6">
              <w:rPr>
                <w:rFonts w:asciiTheme="minorHAnsi" w:hAnsiTheme="minorHAnsi" w:cstheme="minorHAnsi"/>
                <w:color w:val="1F497D" w:themeColor="text2"/>
                <w:szCs w:val="22"/>
              </w:rPr>
              <w:t>on the ACNC’s website</w:t>
            </w:r>
            <w:r w:rsidR="00051AC4" w:rsidRPr="009163A6">
              <w:rPr>
                <w:rFonts w:asciiTheme="minorHAnsi" w:hAnsiTheme="minorHAnsi" w:cstheme="minorHAnsi"/>
                <w:color w:val="1F497D" w:themeColor="text2"/>
                <w:szCs w:val="22"/>
              </w:rPr>
              <w:t xml:space="preserve"> </w:t>
            </w:r>
            <w:r w:rsidRPr="009163A6">
              <w:rPr>
                <w:rFonts w:asciiTheme="minorHAnsi" w:hAnsiTheme="minorHAnsi" w:cstheme="minorHAnsi"/>
                <w:color w:val="1F497D" w:themeColor="text2"/>
                <w:szCs w:val="22"/>
              </w:rPr>
              <w:t xml:space="preserve">to ensure that the sector had adequate time to consider our submission. </w:t>
            </w:r>
          </w:p>
          <w:p w14:paraId="4E2DFFD1" w14:textId="77777777" w:rsidR="00114AC9" w:rsidRPr="009163A6" w:rsidRDefault="00114AC9" w:rsidP="008963E0">
            <w:pPr>
              <w:pStyle w:val="BodyText2"/>
              <w:spacing w:before="120" w:after="120"/>
              <w:rPr>
                <w:rFonts w:asciiTheme="minorHAnsi" w:hAnsiTheme="minorHAnsi" w:cstheme="minorHAnsi"/>
                <w:b/>
                <w:color w:val="1F497D" w:themeColor="text2"/>
              </w:rPr>
            </w:pPr>
            <w:r w:rsidRPr="009163A6">
              <w:rPr>
                <w:rFonts w:asciiTheme="minorHAnsi" w:hAnsiTheme="minorHAnsi" w:cstheme="minorHAnsi"/>
                <w:b/>
                <w:color w:val="1F497D" w:themeColor="text2"/>
              </w:rPr>
              <w:t>Other ACNC submissions</w:t>
            </w:r>
          </w:p>
          <w:p w14:paraId="55BBE5D7" w14:textId="77777777" w:rsidR="00114AC9" w:rsidRPr="009163A6" w:rsidRDefault="00114AC9" w:rsidP="0098276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During 2017-18, the ACNC provided the following submissions to:</w:t>
            </w:r>
          </w:p>
          <w:p w14:paraId="246D5F0B" w14:textId="77777777" w:rsidR="00114AC9" w:rsidRPr="009163A6" w:rsidRDefault="00114AC9"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 xml:space="preserve">Treasury on tax deductible gift recipient reform </w:t>
            </w:r>
          </w:p>
          <w:p w14:paraId="12E3FF17" w14:textId="77777777" w:rsidR="00114AC9" w:rsidRPr="009163A6" w:rsidRDefault="00114AC9"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the Joint Standing Committee on Electoral Matters on the Electoral Legislation Amendment (Electoral Funding and Disclosure Reform) Bill</w:t>
            </w:r>
          </w:p>
          <w:p w14:paraId="4FBDE3E1" w14:textId="77777777" w:rsidR="00114AC9" w:rsidRPr="009163A6" w:rsidRDefault="00114AC9"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Treasury on modernising business registry services</w:t>
            </w:r>
          </w:p>
          <w:p w14:paraId="42DC165D" w14:textId="77777777" w:rsidR="00114AC9" w:rsidRPr="009163A6" w:rsidRDefault="00114AC9"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 xml:space="preserve">the Office of the Registrar of Indigenous Corporations (ORIC) on the Technical Review of the </w:t>
            </w:r>
            <w:r w:rsidRPr="009163A6">
              <w:rPr>
                <w:rFonts w:asciiTheme="minorHAnsi" w:eastAsiaTheme="minorHAnsi" w:hAnsiTheme="minorHAnsi" w:cstheme="minorHAnsi"/>
                <w:i/>
                <w:color w:val="1F497D" w:themeColor="text2"/>
              </w:rPr>
              <w:t>Corporations (Aboriginal and Torres Strait Islander) Act 2006</w:t>
            </w:r>
            <w:r w:rsidRPr="009163A6">
              <w:rPr>
                <w:rFonts w:asciiTheme="minorHAnsi" w:eastAsiaTheme="minorHAnsi" w:hAnsiTheme="minorHAnsi" w:cstheme="minorHAnsi"/>
                <w:color w:val="1F497D" w:themeColor="text2"/>
              </w:rPr>
              <w:t xml:space="preserve"> </w:t>
            </w:r>
          </w:p>
          <w:p w14:paraId="1052CFA5" w14:textId="77777777" w:rsidR="00114AC9" w:rsidRPr="009163A6" w:rsidRDefault="00114AC9"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the Parliamentary Joint Committee on Intelligence and Security in relation to the Foreign Influence Transparency Scheme Bill.</w:t>
            </w:r>
          </w:p>
          <w:p w14:paraId="53F4A8F5" w14:textId="77777777" w:rsidR="00114AC9" w:rsidRPr="009163A6" w:rsidRDefault="00114AC9" w:rsidP="00114AC9">
            <w:pPr>
              <w:pStyle w:val="ListParagraph"/>
              <w:numPr>
                <w:ilvl w:val="0"/>
                <w:numId w:val="18"/>
              </w:numPr>
              <w:spacing w:before="120"/>
              <w:contextualSpacing w:val="0"/>
              <w:rPr>
                <w:rFonts w:asciiTheme="minorHAnsi" w:eastAsiaTheme="minorHAnsi" w:hAnsiTheme="minorHAnsi" w:cstheme="minorHAnsi"/>
                <w:color w:val="1F497D" w:themeColor="text2"/>
              </w:rPr>
            </w:pPr>
            <w:r w:rsidRPr="009163A6">
              <w:rPr>
                <w:rFonts w:asciiTheme="minorHAnsi" w:eastAsiaTheme="minorHAnsi" w:hAnsiTheme="minorHAnsi" w:cstheme="minorHAnsi"/>
                <w:color w:val="1F497D" w:themeColor="text2"/>
              </w:rPr>
              <w:t>Treasury on the ASIC Levy Enhancements Bill.</w:t>
            </w:r>
          </w:p>
          <w:p w14:paraId="6C02ABCC" w14:textId="77777777" w:rsidR="00403732" w:rsidRPr="009163A6" w:rsidRDefault="00403732" w:rsidP="008963E0">
            <w:pPr>
              <w:pStyle w:val="BodyText2"/>
              <w:spacing w:before="120" w:after="120"/>
              <w:rPr>
                <w:rFonts w:asciiTheme="minorHAnsi" w:hAnsiTheme="minorHAnsi" w:cstheme="minorHAnsi"/>
                <w:b/>
                <w:color w:val="1F497D" w:themeColor="text2"/>
              </w:rPr>
            </w:pPr>
            <w:r w:rsidRPr="009163A6">
              <w:rPr>
                <w:rFonts w:asciiTheme="minorHAnsi" w:hAnsiTheme="minorHAnsi" w:cstheme="minorHAnsi"/>
                <w:b/>
                <w:color w:val="1F497D" w:themeColor="text2"/>
              </w:rPr>
              <w:t>National Principles for Child Safe</w:t>
            </w:r>
            <w:r w:rsidRPr="009163A6">
              <w:rPr>
                <w:rFonts w:asciiTheme="minorHAnsi" w:hAnsiTheme="minorHAnsi" w:cstheme="minorHAnsi"/>
                <w:b/>
                <w:color w:val="1F497D" w:themeColor="text2"/>
                <w:lang w:val="en-AU"/>
              </w:rPr>
              <w:t xml:space="preserve"> </w:t>
            </w:r>
            <w:r w:rsidR="000A0AF2" w:rsidRPr="009163A6">
              <w:rPr>
                <w:rFonts w:asciiTheme="minorHAnsi" w:hAnsiTheme="minorHAnsi" w:cstheme="minorHAnsi"/>
                <w:b/>
                <w:color w:val="1F497D" w:themeColor="text2"/>
                <w:lang w:val="en-AU"/>
              </w:rPr>
              <w:t>Organisations</w:t>
            </w:r>
          </w:p>
          <w:p w14:paraId="3D85A76C" w14:textId="77777777" w:rsidR="00403732" w:rsidRPr="009163A6" w:rsidRDefault="00403732" w:rsidP="00403732">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In its final report in December 2017, the Royal Commission into Institutional Responses to Child Sexual Abuse set out ten standards for making institutions in Australia child safe. It recommended that the ten child safe standards be adopted as part of the National Statement of Principles for Child Safe Organisations. The ACNC has been actively engaged as a member of the Implementation Advisory Group responsible for progressing the National Principles for Child Safe Organisations.    </w:t>
            </w:r>
          </w:p>
          <w:p w14:paraId="4B74ACE1" w14:textId="77777777" w:rsidR="00403732" w:rsidRPr="009163A6" w:rsidRDefault="00403732" w:rsidP="00403732">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The National Principles aim to drive a child safe culture across organisations in all sectors to protect the safety and wellbeing of children and young adults.  To support this important work, the ACNC has coordinated engagement with sector representatives and sought feedback from a range of registered charities. This </w:t>
            </w:r>
            <w:r w:rsidRPr="009163A6">
              <w:rPr>
                <w:rFonts w:asciiTheme="minorHAnsi" w:hAnsiTheme="minorHAnsi" w:cstheme="minorHAnsi"/>
                <w:color w:val="1F497D" w:themeColor="text2"/>
                <w:szCs w:val="22"/>
              </w:rPr>
              <w:lastRenderedPageBreak/>
              <w:t>feedback has been provided to the Implementation Advisory Group to assist with the development of tools and resources to support child safe organisations.</w:t>
            </w:r>
          </w:p>
          <w:p w14:paraId="56191AFD" w14:textId="77777777" w:rsidR="002E196A" w:rsidRPr="009163A6" w:rsidRDefault="00E71D9C" w:rsidP="00E71D9C">
            <w:pPr>
              <w:spacing w:before="120"/>
              <w:rPr>
                <w:rFonts w:asciiTheme="minorHAnsi" w:hAnsiTheme="minorHAnsi" w:cstheme="minorHAnsi"/>
                <w:color w:val="1F497D" w:themeColor="text2"/>
                <w:szCs w:val="22"/>
              </w:rPr>
            </w:pPr>
            <w:r w:rsidRPr="009163A6">
              <w:rPr>
                <w:rFonts w:asciiTheme="minorHAnsi" w:hAnsiTheme="minorHAnsi" w:cstheme="minorHAnsi"/>
                <w:i/>
                <w:color w:val="1F497D" w:themeColor="text2"/>
                <w:szCs w:val="22"/>
                <w:lang w:val="en-GB"/>
              </w:rPr>
              <w:t>For further information, refer to 4.4, 6.1, 6.2 6.3, 6.5.</w:t>
            </w:r>
          </w:p>
        </w:tc>
      </w:tr>
      <w:tr w:rsidR="002E196A" w:rsidRPr="009163A6" w14:paraId="77AEC552" w14:textId="77777777" w:rsidTr="009C0793">
        <w:trPr>
          <w:trHeight w:val="1013"/>
        </w:trPr>
        <w:tc>
          <w:tcPr>
            <w:tcW w:w="96" w:type="pct"/>
            <w:vMerge w:val="restart"/>
            <w:shd w:val="clear" w:color="auto" w:fill="D9D9D9" w:themeFill="background1" w:themeFillShade="D9"/>
            <w:vAlign w:val="center"/>
          </w:tcPr>
          <w:p w14:paraId="0F2E8482"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lastRenderedPageBreak/>
              <w:t>C</w:t>
            </w:r>
          </w:p>
        </w:tc>
        <w:tc>
          <w:tcPr>
            <w:tcW w:w="604" w:type="pct"/>
            <w:vMerge w:val="restart"/>
            <w:vAlign w:val="center"/>
          </w:tcPr>
          <w:p w14:paraId="069E33CA" w14:textId="77777777" w:rsidR="002E196A" w:rsidRPr="009163A6" w:rsidRDefault="002E196A" w:rsidP="002E196A">
            <w:pPr>
              <w:spacing w:after="0"/>
              <w:rPr>
                <w:rFonts w:asciiTheme="minorHAnsi" w:hAnsiTheme="minorHAnsi" w:cstheme="minorHAnsi"/>
                <w:szCs w:val="22"/>
              </w:rPr>
            </w:pPr>
            <w:r w:rsidRPr="009163A6">
              <w:rPr>
                <w:rFonts w:asciiTheme="minorHAnsi" w:hAnsiTheme="minorHAnsi" w:cstheme="minorHAnsi"/>
                <w:szCs w:val="22"/>
              </w:rPr>
              <w:t>Regulators regularly share feedback from stakeholders and performance information (including from inspections) with policy departments to improve the operation of the regulatory framework and administrative processes.</w:t>
            </w:r>
          </w:p>
        </w:tc>
        <w:tc>
          <w:tcPr>
            <w:tcW w:w="169" w:type="pct"/>
            <w:shd w:val="clear" w:color="auto" w:fill="D9D9D9" w:themeFill="background1" w:themeFillShade="D9"/>
            <w:vAlign w:val="center"/>
          </w:tcPr>
          <w:p w14:paraId="7E358793"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6.5</w:t>
            </w:r>
          </w:p>
        </w:tc>
        <w:tc>
          <w:tcPr>
            <w:tcW w:w="703" w:type="pct"/>
            <w:shd w:val="clear" w:color="auto" w:fill="auto"/>
            <w:vAlign w:val="center"/>
          </w:tcPr>
          <w:p w14:paraId="669EFF45" w14:textId="77777777" w:rsidR="002E196A" w:rsidRPr="009163A6" w:rsidRDefault="002E196A" w:rsidP="002E196A">
            <w:pPr>
              <w:spacing w:after="0"/>
              <w:rPr>
                <w:rFonts w:asciiTheme="minorHAnsi" w:hAnsiTheme="minorHAnsi" w:cstheme="minorHAnsi"/>
                <w:b/>
                <w:szCs w:val="22"/>
                <w:highlight w:val="yellow"/>
              </w:rPr>
            </w:pPr>
            <w:r w:rsidRPr="009163A6">
              <w:rPr>
                <w:rFonts w:asciiTheme="minorHAnsi" w:hAnsiTheme="minorHAnsi" w:cstheme="minorHAnsi"/>
                <w:b/>
                <w:szCs w:val="22"/>
              </w:rPr>
              <w:t>Stakeholder engagement framework outlines how the ACNC will share feedback from stakeholders with policy departments</w:t>
            </w:r>
          </w:p>
        </w:tc>
        <w:tc>
          <w:tcPr>
            <w:tcW w:w="930" w:type="pct"/>
            <w:shd w:val="clear" w:color="auto" w:fill="auto"/>
            <w:vAlign w:val="center"/>
          </w:tcPr>
          <w:p w14:paraId="7CB3F76B" w14:textId="77777777" w:rsidR="002E196A" w:rsidRPr="009163A6" w:rsidRDefault="009E6DE6" w:rsidP="002E196A">
            <w:pPr>
              <w:spacing w:after="0"/>
              <w:rPr>
                <w:rFonts w:asciiTheme="minorHAnsi" w:hAnsiTheme="minorHAnsi" w:cstheme="minorHAnsi"/>
                <w:szCs w:val="22"/>
                <w:highlight w:val="yellow"/>
              </w:rPr>
            </w:pPr>
            <w:r w:rsidRPr="009163A6">
              <w:rPr>
                <w:rFonts w:asciiTheme="minorHAnsi" w:hAnsiTheme="minorHAnsi" w:cstheme="minorHAnsi"/>
                <w:color w:val="1F497D" w:themeColor="text2"/>
                <w:szCs w:val="22"/>
              </w:rPr>
              <w:t xml:space="preserve">The ACNC’s </w:t>
            </w:r>
            <w:r w:rsidR="002E196A" w:rsidRPr="009163A6">
              <w:rPr>
                <w:rFonts w:asciiTheme="minorHAnsi" w:hAnsiTheme="minorHAnsi" w:cstheme="minorHAnsi"/>
                <w:color w:val="1F497D" w:themeColor="text2"/>
                <w:szCs w:val="22"/>
              </w:rPr>
              <w:t>Stakeholder engagement framework</w:t>
            </w:r>
            <w:r w:rsidRPr="009163A6">
              <w:rPr>
                <w:rFonts w:asciiTheme="minorHAnsi" w:hAnsiTheme="minorHAnsi" w:cstheme="minorHAnsi"/>
                <w:color w:val="1F497D" w:themeColor="text2"/>
                <w:szCs w:val="22"/>
              </w:rPr>
              <w:t xml:space="preserve"> was available on our website throughout 2017-18</w:t>
            </w:r>
          </w:p>
        </w:tc>
        <w:tc>
          <w:tcPr>
            <w:tcW w:w="234" w:type="pct"/>
          </w:tcPr>
          <w:p w14:paraId="1F27BFA8" w14:textId="77777777" w:rsidR="00F97618" w:rsidRPr="009163A6" w:rsidRDefault="00F97618" w:rsidP="002E196A">
            <w:pPr>
              <w:spacing w:after="0"/>
              <w:jc w:val="center"/>
              <w:rPr>
                <w:rFonts w:asciiTheme="minorHAnsi" w:hAnsiTheme="minorHAnsi" w:cstheme="minorHAnsi"/>
                <w:noProof/>
                <w:color w:val="1F497D" w:themeColor="text2"/>
                <w:szCs w:val="22"/>
                <w:highlight w:val="yellow"/>
                <w:lang w:eastAsia="en-AU"/>
              </w:rPr>
            </w:pPr>
          </w:p>
          <w:p w14:paraId="52F04634" w14:textId="77777777" w:rsidR="00F97618" w:rsidRPr="009163A6" w:rsidRDefault="00F97618" w:rsidP="002E196A">
            <w:pPr>
              <w:spacing w:after="0"/>
              <w:jc w:val="center"/>
              <w:rPr>
                <w:rFonts w:asciiTheme="minorHAnsi" w:hAnsiTheme="minorHAnsi" w:cstheme="minorHAnsi"/>
                <w:noProof/>
                <w:color w:val="1F497D" w:themeColor="text2"/>
                <w:szCs w:val="22"/>
                <w:highlight w:val="yellow"/>
                <w:lang w:eastAsia="en-AU"/>
              </w:rPr>
            </w:pPr>
          </w:p>
          <w:p w14:paraId="66C21F3E" w14:textId="77777777" w:rsidR="00F97618" w:rsidRPr="009163A6" w:rsidRDefault="00F97618" w:rsidP="002E196A">
            <w:pPr>
              <w:spacing w:after="0"/>
              <w:jc w:val="center"/>
              <w:rPr>
                <w:rFonts w:asciiTheme="minorHAnsi" w:hAnsiTheme="minorHAnsi" w:cstheme="minorHAnsi"/>
                <w:noProof/>
                <w:color w:val="1F497D" w:themeColor="text2"/>
                <w:szCs w:val="22"/>
                <w:highlight w:val="yellow"/>
                <w:lang w:eastAsia="en-AU"/>
              </w:rPr>
            </w:pPr>
          </w:p>
          <w:p w14:paraId="40356C02" w14:textId="77777777" w:rsidR="00F97618" w:rsidRPr="009163A6" w:rsidRDefault="00F97618" w:rsidP="002E196A">
            <w:pPr>
              <w:spacing w:after="0"/>
              <w:jc w:val="center"/>
              <w:rPr>
                <w:rFonts w:asciiTheme="minorHAnsi" w:hAnsiTheme="minorHAnsi" w:cstheme="minorHAnsi"/>
                <w:noProof/>
                <w:color w:val="1F497D" w:themeColor="text2"/>
                <w:szCs w:val="22"/>
                <w:highlight w:val="yellow"/>
                <w:lang w:eastAsia="en-AU"/>
              </w:rPr>
            </w:pPr>
          </w:p>
          <w:p w14:paraId="5C7D6470" w14:textId="77777777" w:rsidR="00F97618" w:rsidRPr="009163A6" w:rsidRDefault="00F97618" w:rsidP="002E196A">
            <w:pPr>
              <w:spacing w:after="0"/>
              <w:jc w:val="center"/>
              <w:rPr>
                <w:rFonts w:asciiTheme="minorHAnsi" w:hAnsiTheme="minorHAnsi" w:cstheme="minorHAnsi"/>
                <w:noProof/>
                <w:color w:val="1F497D" w:themeColor="text2"/>
                <w:szCs w:val="22"/>
                <w:highlight w:val="yellow"/>
                <w:lang w:eastAsia="en-AU"/>
              </w:rPr>
            </w:pPr>
          </w:p>
          <w:p w14:paraId="5183031D"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highlight w:val="yellow"/>
                <w:lang w:eastAsia="en-AU"/>
              </w:rPr>
              <mc:AlternateContent>
                <mc:Choice Requires="wps">
                  <w:drawing>
                    <wp:anchor distT="0" distB="0" distL="114300" distR="114300" simplePos="0" relativeHeight="251667968" behindDoc="0" locked="0" layoutInCell="1" allowOverlap="1" wp14:anchorId="6A2800C9" wp14:editId="1BB3164F">
                      <wp:simplePos x="0" y="0"/>
                      <wp:positionH relativeFrom="column">
                        <wp:posOffset>182880</wp:posOffset>
                      </wp:positionH>
                      <wp:positionV relativeFrom="paragraph">
                        <wp:posOffset>125730</wp:posOffset>
                      </wp:positionV>
                      <wp:extent cx="144780" cy="144780"/>
                      <wp:effectExtent l="19050" t="19050" r="45720" b="6477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ellipse">
                                <a:avLst/>
                              </a:prstGeom>
                              <a:solidFill>
                                <a:srgbClr val="E36C0A"/>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67B3E" id="Oval 19" o:spid="_x0000_s1026" style="position:absolute;margin-left:14.4pt;margin-top:9.9pt;width:11.4pt;height:1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" fillcolor="#e36c0a" strokecolor="#f2f2f2" strokeweight="3pt">
                      <v:shadow on="t" color="#4e6128" opacity=".5" offset="1pt"/>
                    </v:oval>
                  </w:pict>
                </mc:Fallback>
              </mc:AlternateContent>
            </w:r>
            <w:r w:rsidR="00F97618" w:rsidRPr="009163A6">
              <w:rPr>
                <w:rFonts w:asciiTheme="minorHAnsi" w:hAnsiTheme="minorHAnsi" w:cstheme="minorHAnsi"/>
                <w:noProof/>
                <w:color w:val="1F497D" w:themeColor="text2"/>
                <w:szCs w:val="22"/>
                <w:highlight w:val="yellow"/>
                <w:lang w:eastAsia="en-AU"/>
              </w:rPr>
              <w:t xml:space="preserve"> </w:t>
            </w:r>
          </w:p>
        </w:tc>
        <w:tc>
          <w:tcPr>
            <w:tcW w:w="2264" w:type="pct"/>
          </w:tcPr>
          <w:p w14:paraId="2A1B54FD" w14:textId="77777777" w:rsidR="00E71D9C" w:rsidRPr="009163A6" w:rsidRDefault="002E196A"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The </w:t>
            </w:r>
            <w:hyperlink r:id="rId83" w:history="1">
              <w:r w:rsidRPr="009163A6">
                <w:rPr>
                  <w:rFonts w:asciiTheme="minorHAnsi" w:hAnsiTheme="minorHAnsi" w:cstheme="minorHAnsi"/>
                  <w:color w:val="0000FF" w:themeColor="hyperlink"/>
                  <w:szCs w:val="22"/>
                  <w:u w:val="single"/>
                </w:rPr>
                <w:t>ACNC’s Stakeholder Engagement Framework</w:t>
              </w:r>
            </w:hyperlink>
            <w:r w:rsidR="00C7689E" w:rsidRPr="009163A6">
              <w:rPr>
                <w:rFonts w:asciiTheme="minorHAnsi" w:hAnsiTheme="minorHAnsi" w:cstheme="minorHAnsi"/>
                <w:color w:val="1F497D" w:themeColor="text2"/>
                <w:szCs w:val="22"/>
              </w:rPr>
              <w:t xml:space="preserve"> </w:t>
            </w:r>
            <w:r w:rsidR="00380B5F" w:rsidRPr="009163A6">
              <w:rPr>
                <w:rFonts w:asciiTheme="minorHAnsi" w:hAnsiTheme="minorHAnsi" w:cstheme="minorHAnsi"/>
                <w:color w:val="1F497D" w:themeColor="text2"/>
                <w:szCs w:val="22"/>
              </w:rPr>
              <w:t xml:space="preserve">does not specifically outline how </w:t>
            </w:r>
            <w:r w:rsidRPr="009163A6">
              <w:rPr>
                <w:rFonts w:asciiTheme="minorHAnsi" w:hAnsiTheme="minorHAnsi" w:cstheme="minorHAnsi"/>
                <w:color w:val="1F497D" w:themeColor="text2"/>
                <w:szCs w:val="22"/>
              </w:rPr>
              <w:t>the ACNC will share stakeholder feedback with policy departments</w:t>
            </w:r>
            <w:r w:rsidR="009E6DE6" w:rsidRPr="009163A6">
              <w:rPr>
                <w:rFonts w:asciiTheme="minorHAnsi" w:hAnsiTheme="minorHAnsi" w:cstheme="minorHAnsi"/>
                <w:color w:val="1F497D" w:themeColor="text2"/>
                <w:szCs w:val="22"/>
              </w:rPr>
              <w:t>.</w:t>
            </w:r>
            <w:r w:rsidRPr="009163A6">
              <w:rPr>
                <w:rFonts w:asciiTheme="minorHAnsi" w:hAnsiTheme="minorHAnsi" w:cstheme="minorHAnsi"/>
                <w:color w:val="1F497D" w:themeColor="text2"/>
                <w:szCs w:val="22"/>
              </w:rPr>
              <w:t xml:space="preserve"> </w:t>
            </w:r>
            <w:r w:rsidR="00E71D9C" w:rsidRPr="009163A6">
              <w:rPr>
                <w:rFonts w:asciiTheme="minorHAnsi" w:hAnsiTheme="minorHAnsi" w:cstheme="minorHAnsi"/>
                <w:color w:val="1F497D" w:themeColor="text2"/>
                <w:szCs w:val="22"/>
              </w:rPr>
              <w:t xml:space="preserve">However, the Stakeholder Engagement Framework outlines how the ACNC will engage with stakeholders, recognising that ‘consulting with stakeholders and genuinely listening to what they have to say is essential to developing high-quality policy’. It makes commitments to consult to this end, and details the principles underlying this engagement and the mechanisms that may be used. </w:t>
            </w:r>
          </w:p>
          <w:p w14:paraId="75984580" w14:textId="47D471E8" w:rsidR="002E196A" w:rsidRPr="009163A6" w:rsidRDefault="00E71D9C"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ACNC continues to meet regularly with a range of government agencies to share stakeholder feedback. Some examples of these agencies include Treasury, the ATO, the Australian Accounting Standards Board, the Department of Finance</w:t>
            </w:r>
            <w:r w:rsidR="009C0793" w:rsidRPr="009163A6">
              <w:rPr>
                <w:rFonts w:asciiTheme="minorHAnsi" w:hAnsiTheme="minorHAnsi" w:cstheme="minorHAnsi"/>
                <w:color w:val="1F497D" w:themeColor="text2"/>
                <w:szCs w:val="22"/>
              </w:rPr>
              <w:t xml:space="preserve"> (</w:t>
            </w:r>
            <w:r w:rsidR="006409C6" w:rsidRPr="009163A6">
              <w:rPr>
                <w:rFonts w:asciiTheme="minorHAnsi" w:hAnsiTheme="minorHAnsi" w:cstheme="minorHAnsi"/>
                <w:color w:val="1F497D" w:themeColor="text2"/>
                <w:szCs w:val="22"/>
              </w:rPr>
              <w:t xml:space="preserve">Cth), </w:t>
            </w:r>
            <w:r w:rsidRPr="009163A6">
              <w:rPr>
                <w:rFonts w:asciiTheme="minorHAnsi" w:hAnsiTheme="minorHAnsi" w:cstheme="minorHAnsi"/>
                <w:color w:val="1F497D" w:themeColor="text2"/>
                <w:szCs w:val="22"/>
              </w:rPr>
              <w:t>the Department of Education and Training (Cth) and the Department of Social Services.</w:t>
            </w:r>
          </w:p>
          <w:p w14:paraId="6DAF264D" w14:textId="77777777" w:rsidR="00E10A4D" w:rsidRPr="009163A6" w:rsidRDefault="00E10A4D"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 xml:space="preserve">The ACNC regularly meets with state and territory regulators. As part of the streamlined reporting arrangements with Tasmania and South Australia, the ACNC met with representatives from these jurisdictions to discuss any issues and share stakeholder feedback. </w:t>
            </w:r>
          </w:p>
          <w:p w14:paraId="735D39E7" w14:textId="77777777" w:rsidR="00E71D9C" w:rsidRPr="009163A6" w:rsidRDefault="00E71D9C" w:rsidP="00E71D9C">
            <w:pPr>
              <w:spacing w:before="120"/>
              <w:rPr>
                <w:rFonts w:asciiTheme="minorHAnsi" w:hAnsiTheme="minorHAnsi" w:cstheme="minorHAnsi"/>
                <w:color w:val="1F497D" w:themeColor="text2"/>
                <w:szCs w:val="22"/>
              </w:rPr>
            </w:pPr>
            <w:r w:rsidRPr="009163A6">
              <w:rPr>
                <w:rFonts w:asciiTheme="minorHAnsi" w:hAnsiTheme="minorHAnsi" w:cstheme="minorHAnsi"/>
                <w:color w:val="1F497D" w:themeColor="text2"/>
                <w:szCs w:val="22"/>
              </w:rPr>
              <w:t>The ACNC also uses the compliance forum with state and territor</w:t>
            </w:r>
            <w:r w:rsidR="004049BF" w:rsidRPr="009163A6">
              <w:rPr>
                <w:rFonts w:asciiTheme="minorHAnsi" w:hAnsiTheme="minorHAnsi" w:cstheme="minorHAnsi"/>
                <w:color w:val="1F497D" w:themeColor="text2"/>
                <w:szCs w:val="22"/>
              </w:rPr>
              <w:t>y regulators</w:t>
            </w:r>
            <w:r w:rsidRPr="009163A6">
              <w:rPr>
                <w:rFonts w:asciiTheme="minorHAnsi" w:hAnsiTheme="minorHAnsi" w:cstheme="minorHAnsi"/>
                <w:color w:val="1F497D" w:themeColor="text2"/>
                <w:szCs w:val="22"/>
              </w:rPr>
              <w:t xml:space="preserve"> to share feedback from stakeholders.</w:t>
            </w:r>
          </w:p>
          <w:p w14:paraId="5A833C57" w14:textId="77777777" w:rsidR="00E71D9C" w:rsidRPr="009163A6" w:rsidRDefault="00E71D9C" w:rsidP="00E71D9C">
            <w:pPr>
              <w:spacing w:before="120"/>
              <w:rPr>
                <w:rFonts w:asciiTheme="minorHAnsi" w:hAnsiTheme="minorHAnsi" w:cstheme="minorHAnsi"/>
                <w:i/>
                <w:color w:val="1F497D" w:themeColor="text2"/>
                <w:szCs w:val="22"/>
              </w:rPr>
            </w:pPr>
            <w:r w:rsidRPr="009163A6">
              <w:rPr>
                <w:rFonts w:asciiTheme="minorHAnsi" w:hAnsiTheme="minorHAnsi" w:cstheme="minorHAnsi"/>
                <w:i/>
                <w:color w:val="1F497D" w:themeColor="text2"/>
                <w:szCs w:val="22"/>
              </w:rPr>
              <w:t>For further information, refer to 4.6.</w:t>
            </w:r>
          </w:p>
        </w:tc>
      </w:tr>
      <w:tr w:rsidR="002E196A" w:rsidRPr="009163A6" w14:paraId="78CAA0D5" w14:textId="77777777" w:rsidTr="009C0793">
        <w:trPr>
          <w:trHeight w:val="1013"/>
        </w:trPr>
        <w:tc>
          <w:tcPr>
            <w:tcW w:w="96" w:type="pct"/>
            <w:vMerge/>
            <w:shd w:val="clear" w:color="auto" w:fill="D9D9D9" w:themeFill="background1" w:themeFillShade="D9"/>
            <w:vAlign w:val="center"/>
          </w:tcPr>
          <w:p w14:paraId="06D4D454" w14:textId="77777777" w:rsidR="002E196A" w:rsidRPr="009163A6" w:rsidRDefault="002E196A" w:rsidP="002E196A">
            <w:pPr>
              <w:spacing w:after="0"/>
              <w:jc w:val="center"/>
              <w:rPr>
                <w:rFonts w:asciiTheme="minorHAnsi" w:hAnsiTheme="minorHAnsi" w:cstheme="minorHAnsi"/>
                <w:b/>
                <w:szCs w:val="22"/>
              </w:rPr>
            </w:pPr>
          </w:p>
        </w:tc>
        <w:tc>
          <w:tcPr>
            <w:tcW w:w="604" w:type="pct"/>
            <w:vMerge/>
            <w:vAlign w:val="center"/>
          </w:tcPr>
          <w:p w14:paraId="2DE23F9B" w14:textId="77777777" w:rsidR="002E196A" w:rsidRPr="009163A6" w:rsidRDefault="002E196A" w:rsidP="002E196A">
            <w:pPr>
              <w:spacing w:after="0"/>
              <w:rPr>
                <w:rFonts w:asciiTheme="minorHAnsi" w:hAnsiTheme="minorHAnsi" w:cstheme="minorHAnsi"/>
                <w:szCs w:val="22"/>
              </w:rPr>
            </w:pPr>
          </w:p>
        </w:tc>
        <w:tc>
          <w:tcPr>
            <w:tcW w:w="169" w:type="pct"/>
            <w:shd w:val="clear" w:color="auto" w:fill="D9D9D9" w:themeFill="background1" w:themeFillShade="D9"/>
            <w:vAlign w:val="center"/>
          </w:tcPr>
          <w:p w14:paraId="5BAEF3C6" w14:textId="77777777" w:rsidR="002E196A" w:rsidRPr="009163A6" w:rsidRDefault="002E196A" w:rsidP="002E196A">
            <w:pPr>
              <w:spacing w:after="0"/>
              <w:jc w:val="center"/>
              <w:rPr>
                <w:rFonts w:asciiTheme="minorHAnsi" w:hAnsiTheme="minorHAnsi" w:cstheme="minorHAnsi"/>
                <w:b/>
                <w:szCs w:val="22"/>
              </w:rPr>
            </w:pPr>
            <w:r w:rsidRPr="009163A6">
              <w:rPr>
                <w:rFonts w:asciiTheme="minorHAnsi" w:hAnsiTheme="minorHAnsi" w:cstheme="minorHAnsi"/>
                <w:b/>
                <w:szCs w:val="22"/>
              </w:rPr>
              <w:t>6.6</w:t>
            </w:r>
          </w:p>
        </w:tc>
        <w:tc>
          <w:tcPr>
            <w:tcW w:w="703" w:type="pct"/>
            <w:shd w:val="clear" w:color="auto" w:fill="auto"/>
            <w:vAlign w:val="center"/>
          </w:tcPr>
          <w:p w14:paraId="61CAE44B" w14:textId="77777777" w:rsidR="002E196A" w:rsidRPr="009163A6" w:rsidRDefault="002E196A" w:rsidP="002E196A">
            <w:pPr>
              <w:spacing w:after="0"/>
              <w:rPr>
                <w:rFonts w:asciiTheme="minorHAnsi" w:hAnsiTheme="minorHAnsi" w:cstheme="minorHAnsi"/>
                <w:b/>
                <w:szCs w:val="22"/>
              </w:rPr>
            </w:pPr>
            <w:r w:rsidRPr="009163A6">
              <w:rPr>
                <w:rFonts w:asciiTheme="minorHAnsi" w:hAnsiTheme="minorHAnsi" w:cstheme="minorHAnsi"/>
                <w:b/>
                <w:szCs w:val="22"/>
              </w:rPr>
              <w:t>Report is published analysing the previous year’s cases and forecasting risk areas for future year annually</w:t>
            </w:r>
          </w:p>
        </w:tc>
        <w:tc>
          <w:tcPr>
            <w:tcW w:w="930" w:type="pct"/>
            <w:shd w:val="clear" w:color="auto" w:fill="auto"/>
            <w:vAlign w:val="center"/>
          </w:tcPr>
          <w:p w14:paraId="3FA50AA1" w14:textId="77777777" w:rsidR="009E6DE6" w:rsidRPr="009163A6" w:rsidRDefault="009E6DE6" w:rsidP="009E6DE6">
            <w:pPr>
              <w:spacing w:after="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 xml:space="preserve">Publication of the </w:t>
            </w:r>
            <w:r w:rsidRPr="009163A6">
              <w:rPr>
                <w:rFonts w:asciiTheme="minorHAnsi" w:hAnsiTheme="minorHAnsi" w:cstheme="minorHAnsi"/>
                <w:i/>
                <w:color w:val="1F497D" w:themeColor="text2"/>
                <w:szCs w:val="22"/>
                <w:lang w:val="en-GB"/>
              </w:rPr>
              <w:t>Charity Compliance Report 2017</w:t>
            </w:r>
          </w:p>
          <w:p w14:paraId="3995A638" w14:textId="77777777" w:rsidR="002E196A" w:rsidRPr="009163A6" w:rsidRDefault="002E196A" w:rsidP="002E196A">
            <w:pPr>
              <w:spacing w:after="0"/>
              <w:rPr>
                <w:rFonts w:asciiTheme="minorHAnsi" w:hAnsiTheme="minorHAnsi" w:cstheme="minorHAnsi"/>
                <w:szCs w:val="22"/>
                <w:lang w:val="en-GB"/>
              </w:rPr>
            </w:pPr>
          </w:p>
        </w:tc>
        <w:tc>
          <w:tcPr>
            <w:tcW w:w="234" w:type="pct"/>
          </w:tcPr>
          <w:p w14:paraId="3D16831E"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p>
          <w:p w14:paraId="23B0E866" w14:textId="77777777" w:rsidR="00F97618" w:rsidRPr="009163A6" w:rsidRDefault="00F97618" w:rsidP="002E196A">
            <w:pPr>
              <w:spacing w:after="0"/>
              <w:jc w:val="center"/>
              <w:rPr>
                <w:rFonts w:asciiTheme="minorHAnsi" w:hAnsiTheme="minorHAnsi" w:cstheme="minorHAnsi"/>
                <w:noProof/>
                <w:color w:val="1F497D" w:themeColor="text2"/>
                <w:szCs w:val="22"/>
                <w:lang w:eastAsia="en-AU"/>
              </w:rPr>
            </w:pPr>
          </w:p>
          <w:p w14:paraId="54D04401" w14:textId="77777777" w:rsidR="002E196A" w:rsidRPr="009163A6" w:rsidRDefault="002E196A" w:rsidP="002E196A">
            <w:pPr>
              <w:spacing w:after="0"/>
              <w:jc w:val="center"/>
              <w:rPr>
                <w:rFonts w:asciiTheme="minorHAnsi" w:hAnsiTheme="minorHAnsi" w:cstheme="minorHAnsi"/>
                <w:noProof/>
                <w:color w:val="1F497D" w:themeColor="text2"/>
                <w:szCs w:val="22"/>
                <w:highlight w:val="yellow"/>
                <w:lang w:eastAsia="en-AU"/>
              </w:rPr>
            </w:pPr>
            <w:r w:rsidRPr="009163A6">
              <w:rPr>
                <w:rFonts w:asciiTheme="minorHAnsi" w:hAnsiTheme="minorHAnsi" w:cstheme="minorHAnsi"/>
                <w:noProof/>
                <w:color w:val="1F497D" w:themeColor="text2"/>
                <w:szCs w:val="22"/>
                <w:lang w:eastAsia="en-AU"/>
              </w:rPr>
              <w:drawing>
                <wp:inline distT="0" distB="0" distL="0" distR="0" wp14:anchorId="406B8EC5" wp14:editId="7950ECA3">
                  <wp:extent cx="201295" cy="213360"/>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2264" w:type="pct"/>
          </w:tcPr>
          <w:p w14:paraId="54CDC7FC" w14:textId="77777777" w:rsidR="002E196A" w:rsidRPr="009163A6" w:rsidRDefault="002E196A" w:rsidP="009E6DE6">
            <w:pPr>
              <w:spacing w:before="120"/>
              <w:rPr>
                <w:rFonts w:asciiTheme="minorHAnsi" w:hAnsiTheme="minorHAnsi" w:cstheme="minorHAnsi"/>
                <w:color w:val="1F497D" w:themeColor="text2"/>
                <w:szCs w:val="22"/>
                <w:lang w:val="en-GB"/>
              </w:rPr>
            </w:pPr>
            <w:r w:rsidRPr="009163A6">
              <w:rPr>
                <w:rFonts w:asciiTheme="minorHAnsi" w:hAnsiTheme="minorHAnsi" w:cstheme="minorHAnsi"/>
                <w:color w:val="1F497D" w:themeColor="text2"/>
                <w:szCs w:val="22"/>
                <w:lang w:val="en-GB"/>
              </w:rPr>
              <w:t>In March 201</w:t>
            </w:r>
            <w:r w:rsidR="00504CFC" w:rsidRPr="009163A6">
              <w:rPr>
                <w:rFonts w:asciiTheme="minorHAnsi" w:hAnsiTheme="minorHAnsi" w:cstheme="minorHAnsi"/>
                <w:color w:val="1F497D" w:themeColor="text2"/>
                <w:szCs w:val="22"/>
                <w:lang w:val="en-GB"/>
              </w:rPr>
              <w:t>8</w:t>
            </w:r>
            <w:r w:rsidRPr="009163A6">
              <w:rPr>
                <w:rFonts w:asciiTheme="minorHAnsi" w:hAnsiTheme="minorHAnsi" w:cstheme="minorHAnsi"/>
                <w:color w:val="1F497D" w:themeColor="text2"/>
                <w:szCs w:val="22"/>
                <w:lang w:val="en-GB"/>
              </w:rPr>
              <w:t xml:space="preserve">, we released </w:t>
            </w:r>
            <w:r w:rsidR="009E6DE6" w:rsidRPr="009163A6">
              <w:rPr>
                <w:rFonts w:asciiTheme="minorHAnsi" w:hAnsiTheme="minorHAnsi" w:cstheme="minorHAnsi"/>
                <w:i/>
                <w:color w:val="1F497D" w:themeColor="text2"/>
                <w:szCs w:val="22"/>
                <w:lang w:val="en-GB"/>
              </w:rPr>
              <w:t>Charity Compliance Report 2017</w:t>
            </w:r>
            <w:r w:rsidR="00504CFC" w:rsidRPr="009163A6">
              <w:rPr>
                <w:rFonts w:asciiTheme="minorHAnsi" w:hAnsiTheme="minorHAnsi" w:cstheme="minorHAnsi"/>
                <w:color w:val="1F497D" w:themeColor="text2"/>
                <w:szCs w:val="22"/>
                <w:lang w:val="en-GB"/>
              </w:rPr>
              <w:t xml:space="preserve">. </w:t>
            </w:r>
            <w:r w:rsidR="00504CFC" w:rsidRPr="009163A6">
              <w:rPr>
                <w:rFonts w:asciiTheme="minorHAnsi" w:hAnsiTheme="minorHAnsi" w:cstheme="minorHAnsi"/>
                <w:color w:val="1F497D" w:themeColor="text2"/>
                <w:szCs w:val="22"/>
              </w:rPr>
              <w:t xml:space="preserve">This report used aggregated data and de-identified information to give readers an insight into the compliance work of the </w:t>
            </w:r>
            <w:r w:rsidR="00892F8E" w:rsidRPr="009163A6">
              <w:rPr>
                <w:rFonts w:asciiTheme="minorHAnsi" w:hAnsiTheme="minorHAnsi" w:cstheme="minorHAnsi"/>
                <w:color w:val="1F497D" w:themeColor="text2"/>
                <w:szCs w:val="22"/>
              </w:rPr>
              <w:t>ACNC and</w:t>
            </w:r>
            <w:r w:rsidR="00504CFC" w:rsidRPr="009163A6">
              <w:rPr>
                <w:rFonts w:asciiTheme="minorHAnsi" w:hAnsiTheme="minorHAnsi" w:cstheme="minorHAnsi"/>
                <w:color w:val="1F497D" w:themeColor="text2"/>
                <w:szCs w:val="22"/>
              </w:rPr>
              <w:t xml:space="preserve"> outline</w:t>
            </w:r>
            <w:r w:rsidR="009E6DE6" w:rsidRPr="009163A6">
              <w:rPr>
                <w:rFonts w:asciiTheme="minorHAnsi" w:hAnsiTheme="minorHAnsi" w:cstheme="minorHAnsi"/>
                <w:color w:val="1F497D" w:themeColor="text2"/>
                <w:szCs w:val="22"/>
              </w:rPr>
              <w:t>d</w:t>
            </w:r>
            <w:r w:rsidR="00504CFC" w:rsidRPr="009163A6">
              <w:rPr>
                <w:rFonts w:asciiTheme="minorHAnsi" w:hAnsiTheme="minorHAnsi" w:cstheme="minorHAnsi"/>
                <w:color w:val="1F497D" w:themeColor="text2"/>
                <w:szCs w:val="22"/>
              </w:rPr>
              <w:t xml:space="preserve"> the ACNC’s compliance focus for the year ahead.</w:t>
            </w:r>
          </w:p>
          <w:p w14:paraId="757DDE6B" w14:textId="77777777" w:rsidR="002E196A" w:rsidRPr="009163A6" w:rsidRDefault="009E6DE6" w:rsidP="009E6DE6">
            <w:pPr>
              <w:spacing w:before="120"/>
              <w:rPr>
                <w:rFonts w:asciiTheme="minorHAnsi" w:hAnsiTheme="minorHAnsi" w:cstheme="minorHAnsi"/>
                <w:color w:val="1F497D" w:themeColor="text2"/>
                <w:szCs w:val="22"/>
              </w:rPr>
            </w:pPr>
            <w:r w:rsidRPr="009163A6">
              <w:rPr>
                <w:rFonts w:asciiTheme="minorHAnsi" w:hAnsiTheme="minorHAnsi" w:cstheme="minorHAnsi"/>
                <w:i/>
                <w:color w:val="1F497D" w:themeColor="text2"/>
                <w:szCs w:val="22"/>
                <w:lang w:val="en-GB"/>
              </w:rPr>
              <w:t>For further information, refer to 3.1, 3.2, 3.4 and 4.1.</w:t>
            </w:r>
          </w:p>
        </w:tc>
      </w:tr>
    </w:tbl>
    <w:p w14:paraId="10891639" w14:textId="77777777" w:rsidR="002E196A" w:rsidRPr="002E196A" w:rsidRDefault="002E196A" w:rsidP="002E196A">
      <w:pPr>
        <w:spacing w:after="200" w:line="276" w:lineRule="auto"/>
        <w:rPr>
          <w:rFonts w:asciiTheme="minorHAnsi" w:eastAsiaTheme="minorHAnsi" w:hAnsiTheme="minorHAnsi" w:cstheme="minorBidi"/>
          <w:color w:val="1F497D" w:themeColor="text2"/>
          <w:szCs w:val="22"/>
          <w:lang w:val="en-GB"/>
        </w:rPr>
      </w:pPr>
    </w:p>
    <w:p w14:paraId="76265282" w14:textId="77777777" w:rsidR="00BC6E81" w:rsidRDefault="00BC6E81" w:rsidP="00E819A3"/>
    <w:p w14:paraId="37384235" w14:textId="77777777" w:rsidR="00E819A3" w:rsidRDefault="00E819A3" w:rsidP="00BC6E81">
      <w:pPr>
        <w:rPr>
          <w:rFonts w:ascii="Arial" w:hAnsi="Arial" w:cs="Arial"/>
          <w:b/>
          <w:bCs/>
          <w:color w:val="96BC4D"/>
          <w:kern w:val="32"/>
          <w:sz w:val="32"/>
          <w:szCs w:val="32"/>
        </w:rPr>
        <w:sectPr w:rsidR="00E819A3" w:rsidSect="00B7167C">
          <w:headerReference w:type="default" r:id="rId84"/>
          <w:headerReference w:type="first" r:id="rId85"/>
          <w:pgSz w:w="23811" w:h="16838" w:orient="landscape" w:code="8"/>
          <w:pgMar w:top="720" w:right="567" w:bottom="720" w:left="720" w:header="709" w:footer="709" w:gutter="0"/>
          <w:cols w:space="708"/>
          <w:titlePg/>
          <w:docGrid w:linePitch="360"/>
        </w:sectPr>
      </w:pPr>
    </w:p>
    <w:p w14:paraId="0450C433" w14:textId="77777777" w:rsidR="00C162EB" w:rsidRDefault="00C162EB" w:rsidP="000B1B26">
      <w:pPr>
        <w:pStyle w:val="Heading1"/>
      </w:pPr>
    </w:p>
    <w:p w14:paraId="29837CF2" w14:textId="77777777" w:rsidR="00BC6E81" w:rsidRDefault="00BC6E81" w:rsidP="000B1B26">
      <w:pPr>
        <w:pStyle w:val="Heading1"/>
      </w:pPr>
      <w:bookmarkStart w:id="36" w:name="_Toc521594136"/>
      <w:r w:rsidRPr="00BC6E81">
        <w:t>A</w:t>
      </w:r>
      <w:r w:rsidR="00E24A2C">
        <w:t>ppendix</w:t>
      </w:r>
      <w:r w:rsidRPr="00BC6E81">
        <w:t xml:space="preserve"> B:</w:t>
      </w:r>
      <w:r w:rsidRPr="00BC6E81">
        <w:tab/>
        <w:t>Summary of feedback from consultation</w:t>
      </w:r>
      <w:bookmarkEnd w:id="36"/>
    </w:p>
    <w:p w14:paraId="345D0E08" w14:textId="77777777" w:rsidR="00DD1B5F" w:rsidRDefault="00DD1B5F" w:rsidP="00DD1B5F"/>
    <w:p w14:paraId="70F012A2" w14:textId="77777777" w:rsidR="00DD1B5F" w:rsidRPr="00EF18C0" w:rsidRDefault="00DD1B5F" w:rsidP="00DD1B5F">
      <w:pPr>
        <w:pStyle w:val="Heading4"/>
        <w:spacing w:before="240"/>
        <w:rPr>
          <w:rFonts w:ascii="Arial Bold" w:hAnsi="Arial Bold"/>
          <w:i w:val="0"/>
          <w:color w:val="2C7890"/>
          <w:sz w:val="28"/>
          <w:szCs w:val="28"/>
          <w:lang w:eastAsia="en-AU"/>
        </w:rPr>
      </w:pPr>
      <w:r w:rsidRPr="00EF18C0">
        <w:rPr>
          <w:rFonts w:ascii="Arial Bold" w:hAnsi="Arial Bold"/>
          <w:i w:val="0"/>
          <w:color w:val="2C7890"/>
          <w:sz w:val="28"/>
          <w:szCs w:val="28"/>
          <w:lang w:eastAsia="en-AU"/>
        </w:rPr>
        <w:t>Background</w:t>
      </w:r>
    </w:p>
    <w:p w14:paraId="4507C6DD" w14:textId="77777777" w:rsidR="00DD1B5F" w:rsidRPr="009163A6" w:rsidRDefault="00165D4B" w:rsidP="00DD1B5F">
      <w:pPr>
        <w:spacing w:before="120"/>
        <w:jc w:val="both"/>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U</w:t>
      </w:r>
      <w:r w:rsidR="00DD1B5F" w:rsidRPr="009163A6">
        <w:rPr>
          <w:rFonts w:asciiTheme="minorHAnsi" w:eastAsiaTheme="minorHAnsi" w:hAnsiTheme="minorHAnsi" w:cstheme="minorHAnsi"/>
          <w:color w:val="000000"/>
          <w:szCs w:val="20"/>
        </w:rPr>
        <w:t>nder the Regulator Performance Framework (</w:t>
      </w:r>
      <w:r w:rsidR="00DD1B5F" w:rsidRPr="009163A6">
        <w:rPr>
          <w:rFonts w:asciiTheme="minorHAnsi" w:eastAsiaTheme="minorHAnsi" w:hAnsiTheme="minorHAnsi" w:cstheme="minorHAnsi"/>
          <w:b/>
          <w:color w:val="000000"/>
          <w:szCs w:val="20"/>
        </w:rPr>
        <w:t>RPF</w:t>
      </w:r>
      <w:r w:rsidR="00DD1B5F" w:rsidRPr="009163A6">
        <w:rPr>
          <w:rFonts w:asciiTheme="minorHAnsi" w:eastAsiaTheme="minorHAnsi" w:hAnsiTheme="minorHAnsi" w:cstheme="minorHAnsi"/>
          <w:color w:val="000000"/>
          <w:szCs w:val="20"/>
        </w:rPr>
        <w:t>), the ACNC is required to have our self-assessment ‘validated’ by the approved RPF stakeholder consultation mechanism. The ACNC’s stakeholder consultation mechanism</w:t>
      </w:r>
      <w:r w:rsidR="001B4EC3">
        <w:rPr>
          <w:rFonts w:asciiTheme="minorHAnsi" w:eastAsiaTheme="minorHAnsi" w:hAnsiTheme="minorHAnsi" w:cstheme="minorHAnsi"/>
          <w:color w:val="000000"/>
          <w:szCs w:val="20"/>
        </w:rPr>
        <w:t xml:space="preserve"> consists of </w:t>
      </w:r>
      <w:r w:rsidR="00DD1B5F" w:rsidRPr="009163A6">
        <w:rPr>
          <w:rFonts w:asciiTheme="minorHAnsi" w:eastAsiaTheme="minorHAnsi" w:hAnsiTheme="minorHAnsi" w:cstheme="minorHAnsi"/>
          <w:color w:val="000000"/>
          <w:szCs w:val="20"/>
        </w:rPr>
        <w:t>the Sector User Group (</w:t>
      </w:r>
      <w:r w:rsidR="00DD1B5F" w:rsidRPr="009163A6">
        <w:rPr>
          <w:rFonts w:asciiTheme="minorHAnsi" w:eastAsiaTheme="minorHAnsi" w:hAnsiTheme="minorHAnsi" w:cstheme="minorHAnsi"/>
          <w:b/>
          <w:color w:val="000000"/>
          <w:szCs w:val="20"/>
        </w:rPr>
        <w:t>SUG</w:t>
      </w:r>
      <w:r w:rsidR="00DD1B5F" w:rsidRPr="009163A6">
        <w:rPr>
          <w:rFonts w:asciiTheme="minorHAnsi" w:eastAsiaTheme="minorHAnsi" w:hAnsiTheme="minorHAnsi" w:cstheme="minorHAnsi"/>
          <w:color w:val="000000"/>
          <w:szCs w:val="20"/>
        </w:rPr>
        <w:t>) and Professional User Group (</w:t>
      </w:r>
      <w:r w:rsidR="00DD1B5F" w:rsidRPr="009163A6">
        <w:rPr>
          <w:rFonts w:asciiTheme="minorHAnsi" w:eastAsiaTheme="minorHAnsi" w:hAnsiTheme="minorHAnsi" w:cstheme="minorHAnsi"/>
          <w:b/>
          <w:color w:val="000000"/>
          <w:szCs w:val="20"/>
        </w:rPr>
        <w:t>PUG</w:t>
      </w:r>
      <w:r w:rsidR="00DD1B5F" w:rsidRPr="009163A6">
        <w:rPr>
          <w:rFonts w:asciiTheme="minorHAnsi" w:eastAsiaTheme="minorHAnsi" w:hAnsiTheme="minorHAnsi" w:cstheme="minorHAnsi"/>
          <w:color w:val="000000"/>
          <w:szCs w:val="20"/>
        </w:rPr>
        <w:t xml:space="preserve">). </w:t>
      </w:r>
    </w:p>
    <w:p w14:paraId="5664E96C" w14:textId="77777777" w:rsidR="00DD1B5F" w:rsidRDefault="00DD1B5F" w:rsidP="00842CE0">
      <w:pPr>
        <w:pStyle w:val="Heading4"/>
        <w:tabs>
          <w:tab w:val="left" w:pos="720"/>
          <w:tab w:val="left" w:pos="1440"/>
          <w:tab w:val="center" w:pos="4703"/>
        </w:tabs>
        <w:spacing w:before="240"/>
        <w:rPr>
          <w:rFonts w:asciiTheme="majorHAnsi" w:eastAsiaTheme="majorEastAsia" w:hAnsiTheme="majorHAnsi" w:cstheme="majorBidi"/>
          <w:color w:val="365F91" w:themeColor="accent1" w:themeShade="BF"/>
          <w:sz w:val="28"/>
          <w:szCs w:val="28"/>
        </w:rPr>
      </w:pPr>
      <w:r w:rsidRPr="00DD1B5F">
        <w:rPr>
          <w:rFonts w:eastAsia="Calibri"/>
        </w:rPr>
        <w:t>Methodology</w:t>
      </w:r>
      <w:r>
        <w:rPr>
          <w:rFonts w:asciiTheme="majorHAnsi" w:eastAsiaTheme="majorEastAsia" w:hAnsiTheme="majorHAnsi" w:cstheme="majorBidi"/>
          <w:b w:val="0"/>
          <w:bCs w:val="0"/>
          <w:color w:val="365F91" w:themeColor="accent1" w:themeShade="BF"/>
          <w:sz w:val="28"/>
          <w:szCs w:val="28"/>
        </w:rPr>
        <w:tab/>
      </w:r>
      <w:r w:rsidR="00842CE0">
        <w:rPr>
          <w:rFonts w:asciiTheme="majorHAnsi" w:eastAsiaTheme="majorEastAsia" w:hAnsiTheme="majorHAnsi" w:cstheme="majorBidi"/>
          <w:b w:val="0"/>
          <w:bCs w:val="0"/>
          <w:color w:val="365F91" w:themeColor="accent1" w:themeShade="BF"/>
          <w:sz w:val="28"/>
          <w:szCs w:val="28"/>
        </w:rPr>
        <w:tab/>
      </w:r>
    </w:p>
    <w:p w14:paraId="785BA59A" w14:textId="77777777" w:rsidR="00DD1B5F" w:rsidRPr="009163A6" w:rsidRDefault="00DD1B5F" w:rsidP="00DD1B5F">
      <w:pPr>
        <w:spacing w:before="120"/>
        <w:jc w:val="both"/>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The ACNC circulated</w:t>
      </w:r>
      <w:r w:rsidR="001B4EC3">
        <w:rPr>
          <w:rFonts w:asciiTheme="minorHAnsi" w:eastAsiaTheme="minorHAnsi" w:hAnsiTheme="minorHAnsi" w:cstheme="minorHAnsi"/>
          <w:color w:val="000000"/>
          <w:szCs w:val="20"/>
        </w:rPr>
        <w:t xml:space="preserve"> our</w:t>
      </w:r>
      <w:r w:rsidRPr="009163A6">
        <w:rPr>
          <w:rFonts w:asciiTheme="minorHAnsi" w:eastAsiaTheme="minorHAnsi" w:hAnsiTheme="minorHAnsi" w:cstheme="minorHAnsi"/>
          <w:color w:val="000000"/>
          <w:szCs w:val="20"/>
        </w:rPr>
        <w:t xml:space="preserve"> draft RPF report to members of the </w:t>
      </w:r>
      <w:r w:rsidR="00165D4B">
        <w:rPr>
          <w:rFonts w:asciiTheme="minorHAnsi" w:eastAsiaTheme="minorHAnsi" w:hAnsiTheme="minorHAnsi" w:cstheme="minorHAnsi"/>
          <w:color w:val="000000"/>
          <w:szCs w:val="20"/>
        </w:rPr>
        <w:t>SUG and PUG on</w:t>
      </w:r>
      <w:r w:rsidRPr="009163A6">
        <w:rPr>
          <w:rFonts w:asciiTheme="minorHAnsi" w:eastAsiaTheme="minorHAnsi" w:hAnsiTheme="minorHAnsi" w:cstheme="minorHAnsi"/>
          <w:color w:val="000000"/>
          <w:szCs w:val="20"/>
        </w:rPr>
        <w:t xml:space="preserve"> 2</w:t>
      </w:r>
      <w:r w:rsidR="001B4EC3">
        <w:rPr>
          <w:rFonts w:asciiTheme="minorHAnsi" w:eastAsiaTheme="minorHAnsi" w:hAnsiTheme="minorHAnsi" w:cstheme="minorHAnsi"/>
          <w:color w:val="000000"/>
          <w:szCs w:val="20"/>
        </w:rPr>
        <w:t>7</w:t>
      </w:r>
      <w:r w:rsidRPr="009163A6">
        <w:rPr>
          <w:rFonts w:asciiTheme="minorHAnsi" w:eastAsiaTheme="minorHAnsi" w:hAnsiTheme="minorHAnsi" w:cstheme="minorHAnsi"/>
          <w:color w:val="000000"/>
          <w:szCs w:val="20"/>
        </w:rPr>
        <w:t xml:space="preserve"> July 201</w:t>
      </w:r>
      <w:r w:rsidR="00820F71">
        <w:rPr>
          <w:rFonts w:asciiTheme="minorHAnsi" w:eastAsiaTheme="minorHAnsi" w:hAnsiTheme="minorHAnsi" w:cstheme="minorHAnsi"/>
          <w:color w:val="000000"/>
          <w:szCs w:val="20"/>
        </w:rPr>
        <w:t>8</w:t>
      </w:r>
      <w:r w:rsidRPr="009163A6">
        <w:rPr>
          <w:rFonts w:asciiTheme="minorHAnsi" w:eastAsiaTheme="minorHAnsi" w:hAnsiTheme="minorHAnsi" w:cstheme="minorHAnsi"/>
          <w:color w:val="000000"/>
          <w:szCs w:val="20"/>
        </w:rPr>
        <w:t xml:space="preserve">, ahead of a joint </w:t>
      </w:r>
      <w:r w:rsidR="00165D4B">
        <w:rPr>
          <w:rFonts w:asciiTheme="minorHAnsi" w:eastAsiaTheme="minorHAnsi" w:hAnsiTheme="minorHAnsi" w:cstheme="minorHAnsi"/>
          <w:color w:val="000000"/>
          <w:szCs w:val="20"/>
        </w:rPr>
        <w:t xml:space="preserve">SUG and PUG </w:t>
      </w:r>
      <w:r w:rsidRPr="009163A6">
        <w:rPr>
          <w:rFonts w:asciiTheme="minorHAnsi" w:eastAsiaTheme="minorHAnsi" w:hAnsiTheme="minorHAnsi" w:cstheme="minorHAnsi"/>
          <w:color w:val="000000"/>
          <w:szCs w:val="20"/>
        </w:rPr>
        <w:t xml:space="preserve">meeting on 2 August 2018. </w:t>
      </w:r>
    </w:p>
    <w:p w14:paraId="6EED0F2F" w14:textId="1C1AFE76" w:rsidR="00DD1B5F" w:rsidRPr="009163A6" w:rsidRDefault="00DD1B5F" w:rsidP="00DD1B5F">
      <w:pPr>
        <w:spacing w:before="120"/>
        <w:jc w:val="both"/>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 xml:space="preserve">Feedback was sought through an online survey which was circulated to </w:t>
      </w:r>
      <w:r w:rsidR="00842CE0">
        <w:rPr>
          <w:rFonts w:asciiTheme="minorHAnsi" w:eastAsiaTheme="minorHAnsi" w:hAnsiTheme="minorHAnsi" w:cstheme="minorHAnsi"/>
          <w:color w:val="000000"/>
          <w:szCs w:val="20"/>
        </w:rPr>
        <w:t xml:space="preserve">all </w:t>
      </w:r>
      <w:r w:rsidRPr="009163A6">
        <w:rPr>
          <w:rFonts w:asciiTheme="minorHAnsi" w:eastAsiaTheme="minorHAnsi" w:hAnsiTheme="minorHAnsi" w:cstheme="minorHAnsi"/>
          <w:color w:val="000000"/>
          <w:szCs w:val="20"/>
        </w:rPr>
        <w:t xml:space="preserve">members of </w:t>
      </w:r>
      <w:r w:rsidR="00842CE0">
        <w:rPr>
          <w:rFonts w:asciiTheme="minorHAnsi" w:eastAsiaTheme="minorHAnsi" w:hAnsiTheme="minorHAnsi" w:cstheme="minorHAnsi"/>
          <w:color w:val="000000"/>
          <w:szCs w:val="20"/>
        </w:rPr>
        <w:t xml:space="preserve">the </w:t>
      </w:r>
      <w:r w:rsidRPr="009163A6">
        <w:rPr>
          <w:rFonts w:asciiTheme="minorHAnsi" w:eastAsiaTheme="minorHAnsi" w:hAnsiTheme="minorHAnsi" w:cstheme="minorHAnsi"/>
          <w:color w:val="000000"/>
          <w:szCs w:val="20"/>
        </w:rPr>
        <w:t xml:space="preserve">SUG and PUG. Members of the ACNC’s </w:t>
      </w:r>
      <w:r w:rsidR="007E72F3">
        <w:rPr>
          <w:rFonts w:asciiTheme="minorHAnsi" w:eastAsiaTheme="minorHAnsi" w:hAnsiTheme="minorHAnsi" w:cstheme="minorHAnsi"/>
          <w:color w:val="000000"/>
          <w:szCs w:val="20"/>
        </w:rPr>
        <w:t>R</w:t>
      </w:r>
      <w:r w:rsidR="007E72F3" w:rsidRPr="009163A6">
        <w:rPr>
          <w:rFonts w:asciiTheme="minorHAnsi" w:eastAsiaTheme="minorHAnsi" w:hAnsiTheme="minorHAnsi" w:cstheme="minorHAnsi"/>
          <w:color w:val="000000"/>
          <w:szCs w:val="20"/>
        </w:rPr>
        <w:t xml:space="preserve">ed </w:t>
      </w:r>
      <w:r w:rsidR="007E72F3">
        <w:rPr>
          <w:rFonts w:asciiTheme="minorHAnsi" w:eastAsiaTheme="minorHAnsi" w:hAnsiTheme="minorHAnsi" w:cstheme="minorHAnsi"/>
          <w:color w:val="000000"/>
          <w:szCs w:val="20"/>
        </w:rPr>
        <w:t>T</w:t>
      </w:r>
      <w:r w:rsidR="007E72F3" w:rsidRPr="009163A6">
        <w:rPr>
          <w:rFonts w:asciiTheme="minorHAnsi" w:eastAsiaTheme="minorHAnsi" w:hAnsiTheme="minorHAnsi" w:cstheme="minorHAnsi"/>
          <w:color w:val="000000"/>
          <w:szCs w:val="20"/>
        </w:rPr>
        <w:t xml:space="preserve">ape </w:t>
      </w:r>
      <w:r w:rsidR="007E72F3">
        <w:rPr>
          <w:rFonts w:asciiTheme="minorHAnsi" w:eastAsiaTheme="minorHAnsi" w:hAnsiTheme="minorHAnsi" w:cstheme="minorHAnsi"/>
          <w:color w:val="000000"/>
          <w:szCs w:val="20"/>
        </w:rPr>
        <w:t>R</w:t>
      </w:r>
      <w:r w:rsidRPr="009163A6">
        <w:rPr>
          <w:rFonts w:asciiTheme="minorHAnsi" w:eastAsiaTheme="minorHAnsi" w:hAnsiTheme="minorHAnsi" w:cstheme="minorHAnsi"/>
          <w:color w:val="000000"/>
          <w:szCs w:val="20"/>
        </w:rPr>
        <w:t xml:space="preserve">eduction team were available throughout the joint </w:t>
      </w:r>
      <w:r w:rsidR="00820F71">
        <w:rPr>
          <w:rFonts w:asciiTheme="minorHAnsi" w:eastAsiaTheme="minorHAnsi" w:hAnsiTheme="minorHAnsi" w:cstheme="minorHAnsi"/>
          <w:color w:val="000000"/>
          <w:szCs w:val="20"/>
        </w:rPr>
        <w:t>S</w:t>
      </w:r>
      <w:r w:rsidRPr="009163A6">
        <w:rPr>
          <w:rFonts w:asciiTheme="minorHAnsi" w:eastAsiaTheme="minorHAnsi" w:hAnsiTheme="minorHAnsi" w:cstheme="minorHAnsi"/>
          <w:color w:val="000000"/>
          <w:szCs w:val="20"/>
        </w:rPr>
        <w:t xml:space="preserve">UG and </w:t>
      </w:r>
      <w:r w:rsidR="00820F71">
        <w:rPr>
          <w:rFonts w:asciiTheme="minorHAnsi" w:eastAsiaTheme="minorHAnsi" w:hAnsiTheme="minorHAnsi" w:cstheme="minorHAnsi"/>
          <w:color w:val="000000"/>
          <w:szCs w:val="20"/>
        </w:rPr>
        <w:t>P</w:t>
      </w:r>
      <w:r w:rsidRPr="009163A6">
        <w:rPr>
          <w:rFonts w:asciiTheme="minorHAnsi" w:eastAsiaTheme="minorHAnsi" w:hAnsiTheme="minorHAnsi" w:cstheme="minorHAnsi"/>
          <w:color w:val="000000"/>
          <w:szCs w:val="20"/>
        </w:rPr>
        <w:t xml:space="preserve">UG meeting to discuss the ACNC’s </w:t>
      </w:r>
      <w:r w:rsidR="00842CE0">
        <w:rPr>
          <w:rFonts w:asciiTheme="minorHAnsi" w:eastAsiaTheme="minorHAnsi" w:hAnsiTheme="minorHAnsi" w:cstheme="minorHAnsi"/>
          <w:color w:val="000000"/>
          <w:szCs w:val="20"/>
        </w:rPr>
        <w:t xml:space="preserve">draft </w:t>
      </w:r>
      <w:r w:rsidRPr="009163A6">
        <w:rPr>
          <w:rFonts w:asciiTheme="minorHAnsi" w:eastAsiaTheme="minorHAnsi" w:hAnsiTheme="minorHAnsi" w:cstheme="minorHAnsi"/>
          <w:color w:val="000000"/>
          <w:szCs w:val="20"/>
        </w:rPr>
        <w:t xml:space="preserve">2017-18 RPF </w:t>
      </w:r>
      <w:r w:rsidR="00820F71">
        <w:rPr>
          <w:rFonts w:asciiTheme="minorHAnsi" w:eastAsiaTheme="minorHAnsi" w:hAnsiTheme="minorHAnsi" w:cstheme="minorHAnsi"/>
          <w:color w:val="000000"/>
          <w:szCs w:val="20"/>
        </w:rPr>
        <w:t>report</w:t>
      </w:r>
      <w:r w:rsidRPr="009163A6">
        <w:rPr>
          <w:rFonts w:asciiTheme="minorHAnsi" w:eastAsiaTheme="minorHAnsi" w:hAnsiTheme="minorHAnsi" w:cstheme="minorHAnsi"/>
          <w:color w:val="000000"/>
          <w:szCs w:val="20"/>
        </w:rPr>
        <w:t>.</w:t>
      </w:r>
    </w:p>
    <w:p w14:paraId="176C8339" w14:textId="77777777" w:rsidR="00DD1B5F" w:rsidRPr="009163A6" w:rsidRDefault="00DD1B5F" w:rsidP="00DD1B5F">
      <w:pPr>
        <w:spacing w:before="120"/>
        <w:jc w:val="both"/>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 xml:space="preserve">Our online survey allowed </w:t>
      </w:r>
      <w:r w:rsidR="00820F71">
        <w:rPr>
          <w:rFonts w:asciiTheme="minorHAnsi" w:eastAsiaTheme="minorHAnsi" w:hAnsiTheme="minorHAnsi" w:cstheme="minorHAnsi"/>
          <w:color w:val="000000"/>
          <w:szCs w:val="20"/>
        </w:rPr>
        <w:t>members of the SUG and PUG</w:t>
      </w:r>
      <w:r w:rsidRPr="009163A6">
        <w:rPr>
          <w:rFonts w:asciiTheme="minorHAnsi" w:eastAsiaTheme="minorHAnsi" w:hAnsiTheme="minorHAnsi" w:cstheme="minorHAnsi"/>
          <w:color w:val="000000"/>
          <w:szCs w:val="20"/>
        </w:rPr>
        <w:t xml:space="preserve"> to: </w:t>
      </w:r>
    </w:p>
    <w:p w14:paraId="38F2F301" w14:textId="77777777" w:rsidR="00DD1B5F" w:rsidRPr="009163A6" w:rsidRDefault="00DD1B5F" w:rsidP="00DD1B5F">
      <w:pPr>
        <w:pStyle w:val="ListParagraph"/>
        <w:numPr>
          <w:ilvl w:val="0"/>
          <w:numId w:val="23"/>
        </w:numPr>
        <w:spacing w:before="120"/>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indicate their agreement with the ACNC’s self-assessment against the key performance indicators (</w:t>
      </w:r>
      <w:r w:rsidRPr="00842CE0">
        <w:rPr>
          <w:rFonts w:asciiTheme="minorHAnsi" w:eastAsiaTheme="minorHAnsi" w:hAnsiTheme="minorHAnsi" w:cstheme="minorHAnsi"/>
          <w:b/>
          <w:color w:val="000000"/>
          <w:szCs w:val="20"/>
        </w:rPr>
        <w:t>KPI</w:t>
      </w:r>
      <w:r w:rsidR="00842CE0">
        <w:rPr>
          <w:rFonts w:asciiTheme="minorHAnsi" w:eastAsiaTheme="minorHAnsi" w:hAnsiTheme="minorHAnsi" w:cstheme="minorHAnsi"/>
          <w:color w:val="000000"/>
          <w:szCs w:val="20"/>
        </w:rPr>
        <w:t>s</w:t>
      </w:r>
      <w:r w:rsidRPr="009163A6">
        <w:rPr>
          <w:rFonts w:asciiTheme="minorHAnsi" w:eastAsiaTheme="minorHAnsi" w:hAnsiTheme="minorHAnsi" w:cstheme="minorHAnsi"/>
          <w:color w:val="000000"/>
          <w:szCs w:val="20"/>
        </w:rPr>
        <w:t>) and overall assessment</w:t>
      </w:r>
    </w:p>
    <w:p w14:paraId="5B614A46" w14:textId="77777777" w:rsidR="00DD1B5F" w:rsidRPr="009163A6" w:rsidRDefault="00DD1B5F" w:rsidP="00DD1B5F">
      <w:pPr>
        <w:pStyle w:val="ListParagraph"/>
        <w:numPr>
          <w:ilvl w:val="0"/>
          <w:numId w:val="23"/>
        </w:numPr>
        <w:spacing w:before="120"/>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 xml:space="preserve"> provide feedback on each KPI and the</w:t>
      </w:r>
      <w:r w:rsidR="00842CE0">
        <w:rPr>
          <w:rFonts w:asciiTheme="minorHAnsi" w:eastAsiaTheme="minorHAnsi" w:hAnsiTheme="minorHAnsi" w:cstheme="minorHAnsi"/>
          <w:color w:val="000000"/>
          <w:szCs w:val="20"/>
        </w:rPr>
        <w:t xml:space="preserve"> ACNC’s</w:t>
      </w:r>
      <w:r w:rsidRPr="009163A6">
        <w:rPr>
          <w:rFonts w:asciiTheme="minorHAnsi" w:eastAsiaTheme="minorHAnsi" w:hAnsiTheme="minorHAnsi" w:cstheme="minorHAnsi"/>
          <w:color w:val="000000"/>
          <w:szCs w:val="20"/>
        </w:rPr>
        <w:t xml:space="preserve"> overall </w:t>
      </w:r>
      <w:r w:rsidR="00820F71">
        <w:rPr>
          <w:rFonts w:asciiTheme="minorHAnsi" w:eastAsiaTheme="minorHAnsi" w:hAnsiTheme="minorHAnsi" w:cstheme="minorHAnsi"/>
          <w:color w:val="000000"/>
          <w:szCs w:val="20"/>
        </w:rPr>
        <w:t>self-</w:t>
      </w:r>
      <w:r w:rsidRPr="009163A6">
        <w:rPr>
          <w:rFonts w:asciiTheme="minorHAnsi" w:eastAsiaTheme="minorHAnsi" w:hAnsiTheme="minorHAnsi" w:cstheme="minorHAnsi"/>
          <w:color w:val="000000"/>
          <w:szCs w:val="20"/>
        </w:rPr>
        <w:t>assessment.</w:t>
      </w:r>
    </w:p>
    <w:p w14:paraId="3E6B4243" w14:textId="77777777" w:rsidR="00DD1B5F" w:rsidRPr="009163A6" w:rsidRDefault="00DD1B5F" w:rsidP="00DD1B5F">
      <w:pPr>
        <w:spacing w:before="120"/>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W</w:t>
      </w:r>
      <w:r w:rsidR="00842CE0">
        <w:rPr>
          <w:rFonts w:asciiTheme="minorHAnsi" w:eastAsiaTheme="minorHAnsi" w:hAnsiTheme="minorHAnsi" w:cstheme="minorHAnsi"/>
          <w:color w:val="000000"/>
          <w:szCs w:val="20"/>
        </w:rPr>
        <w:t>here a member of the SUG or PUG</w:t>
      </w:r>
      <w:r w:rsidRPr="009163A6">
        <w:rPr>
          <w:rFonts w:asciiTheme="minorHAnsi" w:eastAsiaTheme="minorHAnsi" w:hAnsiTheme="minorHAnsi" w:cstheme="minorHAnsi"/>
          <w:color w:val="000000"/>
          <w:szCs w:val="20"/>
        </w:rPr>
        <w:t xml:space="preserve"> disagreed with our </w:t>
      </w:r>
      <w:r w:rsidR="00842CE0">
        <w:rPr>
          <w:rFonts w:asciiTheme="minorHAnsi" w:eastAsiaTheme="minorHAnsi" w:hAnsiTheme="minorHAnsi" w:cstheme="minorHAnsi"/>
          <w:color w:val="000000"/>
          <w:szCs w:val="20"/>
        </w:rPr>
        <w:t>self-</w:t>
      </w:r>
      <w:r w:rsidRPr="009163A6">
        <w:rPr>
          <w:rFonts w:asciiTheme="minorHAnsi" w:eastAsiaTheme="minorHAnsi" w:hAnsiTheme="minorHAnsi" w:cstheme="minorHAnsi"/>
          <w:color w:val="000000"/>
          <w:szCs w:val="20"/>
        </w:rPr>
        <w:t xml:space="preserve">assessment, they were asked to confirm whether the </w:t>
      </w:r>
      <w:r w:rsidR="00820F71">
        <w:rPr>
          <w:rFonts w:asciiTheme="minorHAnsi" w:eastAsiaTheme="minorHAnsi" w:hAnsiTheme="minorHAnsi" w:cstheme="minorHAnsi"/>
          <w:color w:val="000000"/>
          <w:szCs w:val="20"/>
        </w:rPr>
        <w:t>rating</w:t>
      </w:r>
      <w:r w:rsidR="00842CE0">
        <w:rPr>
          <w:rFonts w:asciiTheme="minorHAnsi" w:eastAsiaTheme="minorHAnsi" w:hAnsiTheme="minorHAnsi" w:cstheme="minorHAnsi"/>
          <w:color w:val="000000"/>
          <w:szCs w:val="20"/>
        </w:rPr>
        <w:t xml:space="preserve"> should be higher or lower.</w:t>
      </w:r>
      <w:r w:rsidRPr="009163A6">
        <w:rPr>
          <w:rFonts w:asciiTheme="minorHAnsi" w:eastAsiaTheme="minorHAnsi" w:hAnsiTheme="minorHAnsi" w:cstheme="minorHAnsi"/>
          <w:color w:val="000000"/>
          <w:szCs w:val="20"/>
        </w:rPr>
        <w:t xml:space="preserve"> </w:t>
      </w:r>
    </w:p>
    <w:p w14:paraId="33D9CE38" w14:textId="77777777" w:rsidR="00DD1B5F" w:rsidRPr="009163A6" w:rsidRDefault="00842CE0" w:rsidP="00DD1B5F">
      <w:pPr>
        <w:spacing w:before="120"/>
        <w:jc w:val="both"/>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We closed the online survey</w:t>
      </w:r>
      <w:r w:rsidR="00DD1B5F" w:rsidRPr="009163A6">
        <w:rPr>
          <w:rFonts w:asciiTheme="minorHAnsi" w:eastAsiaTheme="minorHAnsi" w:hAnsiTheme="minorHAnsi" w:cstheme="minorHAnsi"/>
          <w:color w:val="000000"/>
          <w:szCs w:val="20"/>
        </w:rPr>
        <w:t xml:space="preserve"> on 7 August 2018.</w:t>
      </w:r>
    </w:p>
    <w:p w14:paraId="45C917EE" w14:textId="77777777" w:rsidR="00DD1B5F" w:rsidRDefault="00EF18C0" w:rsidP="00DD1B5F">
      <w:pPr>
        <w:pStyle w:val="Heading4"/>
        <w:spacing w:before="240"/>
        <w:rPr>
          <w:rFonts w:asciiTheme="majorHAnsi" w:eastAsiaTheme="majorEastAsia" w:hAnsiTheme="majorHAnsi" w:cstheme="majorBidi"/>
          <w:color w:val="365F91" w:themeColor="accent1" w:themeShade="BF"/>
          <w:sz w:val="28"/>
          <w:szCs w:val="28"/>
        </w:rPr>
      </w:pPr>
      <w:r>
        <w:rPr>
          <w:rFonts w:eastAsia="Calibri"/>
        </w:rPr>
        <w:t>Responses</w:t>
      </w:r>
    </w:p>
    <w:p w14:paraId="4EA7DA47" w14:textId="77777777" w:rsidR="00EF18C0" w:rsidRPr="009163A6" w:rsidRDefault="00842CE0" w:rsidP="00EF18C0">
      <w:pPr>
        <w:spacing w:before="120"/>
        <w:jc w:val="both"/>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25 members of the SUG or PUG completed our online survey,</w:t>
      </w:r>
      <w:r w:rsidR="000F12F7" w:rsidRPr="009163A6">
        <w:rPr>
          <w:rFonts w:asciiTheme="minorHAnsi" w:eastAsiaTheme="minorHAnsi" w:hAnsiTheme="minorHAnsi" w:cstheme="minorHAnsi"/>
          <w:color w:val="000000"/>
          <w:szCs w:val="20"/>
        </w:rPr>
        <w:t xml:space="preserve"> although two </w:t>
      </w:r>
      <w:r>
        <w:rPr>
          <w:rFonts w:asciiTheme="minorHAnsi" w:eastAsiaTheme="minorHAnsi" w:hAnsiTheme="minorHAnsi" w:cstheme="minorHAnsi"/>
          <w:color w:val="000000"/>
          <w:szCs w:val="20"/>
        </w:rPr>
        <w:t>surveys</w:t>
      </w:r>
      <w:r w:rsidR="000F12F7" w:rsidRPr="009163A6">
        <w:rPr>
          <w:rFonts w:asciiTheme="minorHAnsi" w:eastAsiaTheme="minorHAnsi" w:hAnsiTheme="minorHAnsi" w:cstheme="minorHAnsi"/>
          <w:color w:val="000000"/>
          <w:szCs w:val="20"/>
        </w:rPr>
        <w:t xml:space="preserve"> were incomplete. </w:t>
      </w:r>
    </w:p>
    <w:p w14:paraId="186DC750" w14:textId="77777777" w:rsidR="00842CE0" w:rsidRDefault="00EF18C0" w:rsidP="00EF18C0">
      <w:pPr>
        <w:spacing w:before="120"/>
        <w:jc w:val="both"/>
        <w:rPr>
          <w:rFonts w:asciiTheme="minorHAnsi" w:eastAsiaTheme="minorHAnsi" w:hAnsiTheme="minorHAnsi" w:cstheme="minorHAnsi"/>
          <w:color w:val="000000"/>
          <w:szCs w:val="20"/>
        </w:rPr>
      </w:pPr>
      <w:r w:rsidRPr="009163A6">
        <w:rPr>
          <w:rFonts w:asciiTheme="minorHAnsi" w:eastAsiaTheme="minorHAnsi" w:hAnsiTheme="minorHAnsi" w:cstheme="minorHAnsi"/>
          <w:color w:val="000000"/>
          <w:szCs w:val="20"/>
        </w:rPr>
        <w:t xml:space="preserve">Of the 25 responses, 16 were from </w:t>
      </w:r>
      <w:r w:rsidR="000F12F7" w:rsidRPr="009163A6">
        <w:rPr>
          <w:rFonts w:asciiTheme="minorHAnsi" w:eastAsiaTheme="minorHAnsi" w:hAnsiTheme="minorHAnsi" w:cstheme="minorHAnsi"/>
          <w:color w:val="000000"/>
          <w:szCs w:val="20"/>
        </w:rPr>
        <w:t xml:space="preserve">members of the </w:t>
      </w:r>
      <w:r w:rsidRPr="009163A6">
        <w:rPr>
          <w:rFonts w:asciiTheme="minorHAnsi" w:eastAsiaTheme="minorHAnsi" w:hAnsiTheme="minorHAnsi" w:cstheme="minorHAnsi"/>
          <w:color w:val="000000"/>
          <w:szCs w:val="20"/>
        </w:rPr>
        <w:t>PUG</w:t>
      </w:r>
      <w:r w:rsidR="000F12F7" w:rsidRPr="009163A6">
        <w:rPr>
          <w:rFonts w:asciiTheme="minorHAnsi" w:eastAsiaTheme="minorHAnsi" w:hAnsiTheme="minorHAnsi" w:cstheme="minorHAnsi"/>
          <w:color w:val="000000"/>
          <w:szCs w:val="20"/>
        </w:rPr>
        <w:t xml:space="preserve"> and the other nine from members of the SUG. </w:t>
      </w:r>
    </w:p>
    <w:p w14:paraId="468402A8" w14:textId="77777777" w:rsidR="000F12F7" w:rsidRPr="009163A6" w:rsidRDefault="00842CE0" w:rsidP="00EF18C0">
      <w:pPr>
        <w:spacing w:before="120"/>
        <w:jc w:val="both"/>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Of the two incomplete surveys, one related to the PUG, and the other to the SUG</w:t>
      </w:r>
      <w:r w:rsidR="000F12F7" w:rsidRPr="009163A6">
        <w:rPr>
          <w:rFonts w:asciiTheme="minorHAnsi" w:eastAsiaTheme="minorHAnsi" w:hAnsiTheme="minorHAnsi" w:cstheme="minorHAnsi"/>
          <w:color w:val="000000"/>
          <w:szCs w:val="20"/>
        </w:rPr>
        <w:t>.</w:t>
      </w:r>
      <w:r>
        <w:rPr>
          <w:rFonts w:asciiTheme="minorHAnsi" w:eastAsiaTheme="minorHAnsi" w:hAnsiTheme="minorHAnsi" w:cstheme="minorHAnsi"/>
          <w:color w:val="000000"/>
          <w:szCs w:val="20"/>
        </w:rPr>
        <w:t xml:space="preserve"> </w:t>
      </w:r>
      <w:r w:rsidR="000F12F7" w:rsidRPr="009163A6">
        <w:rPr>
          <w:rFonts w:asciiTheme="minorHAnsi" w:eastAsiaTheme="minorHAnsi" w:hAnsiTheme="minorHAnsi" w:cstheme="minorHAnsi"/>
          <w:color w:val="000000"/>
          <w:szCs w:val="20"/>
        </w:rPr>
        <w:t>For the</w:t>
      </w:r>
      <w:r>
        <w:rPr>
          <w:rFonts w:asciiTheme="minorHAnsi" w:eastAsiaTheme="minorHAnsi" w:hAnsiTheme="minorHAnsi" w:cstheme="minorHAnsi"/>
          <w:color w:val="000000"/>
          <w:szCs w:val="20"/>
        </w:rPr>
        <w:t>se</w:t>
      </w:r>
      <w:r w:rsidR="000F12F7" w:rsidRPr="009163A6">
        <w:rPr>
          <w:rFonts w:asciiTheme="minorHAnsi" w:eastAsiaTheme="minorHAnsi" w:hAnsiTheme="minorHAnsi" w:cstheme="minorHAnsi"/>
          <w:color w:val="000000"/>
          <w:szCs w:val="20"/>
        </w:rPr>
        <w:t xml:space="preserve"> surveys, the ACNC only received feedback on KPI 1 (for transparency, we have included </w:t>
      </w:r>
      <w:r w:rsidR="00820F71">
        <w:rPr>
          <w:rFonts w:asciiTheme="minorHAnsi" w:eastAsiaTheme="minorHAnsi" w:hAnsiTheme="minorHAnsi" w:cstheme="minorHAnsi"/>
          <w:color w:val="000000"/>
          <w:szCs w:val="20"/>
        </w:rPr>
        <w:t>these responses</w:t>
      </w:r>
      <w:r w:rsidR="000F12F7" w:rsidRPr="009163A6">
        <w:rPr>
          <w:rFonts w:asciiTheme="minorHAnsi" w:eastAsiaTheme="minorHAnsi" w:hAnsiTheme="minorHAnsi" w:cstheme="minorHAnsi"/>
          <w:color w:val="000000"/>
          <w:szCs w:val="20"/>
        </w:rPr>
        <w:t xml:space="preserve"> in our analysis). </w:t>
      </w:r>
    </w:p>
    <w:p w14:paraId="5166C285" w14:textId="77777777" w:rsidR="008711F3" w:rsidRPr="008711F3" w:rsidRDefault="008711F3" w:rsidP="008711F3">
      <w:pPr>
        <w:spacing w:line="256" w:lineRule="auto"/>
        <w:rPr>
          <w:rFonts w:asciiTheme="minorHAnsi" w:eastAsiaTheme="minorHAnsi" w:hAnsiTheme="minorHAnsi" w:cstheme="minorHAnsi"/>
          <w:color w:val="000000"/>
          <w:szCs w:val="20"/>
        </w:rPr>
      </w:pPr>
      <w:r w:rsidRPr="008711F3">
        <w:rPr>
          <w:rFonts w:asciiTheme="minorHAnsi" w:eastAsiaTheme="minorHAnsi" w:hAnsiTheme="minorHAnsi" w:cstheme="minorHAnsi"/>
          <w:color w:val="000000"/>
          <w:szCs w:val="20"/>
        </w:rPr>
        <w:t xml:space="preserve">We acknowledge the feedback </w:t>
      </w:r>
      <w:r>
        <w:rPr>
          <w:rFonts w:asciiTheme="minorHAnsi" w:eastAsiaTheme="minorHAnsi" w:hAnsiTheme="minorHAnsi" w:cstheme="minorHAnsi"/>
          <w:color w:val="000000"/>
          <w:szCs w:val="20"/>
        </w:rPr>
        <w:t xml:space="preserve">provided </w:t>
      </w:r>
      <w:r w:rsidRPr="008711F3">
        <w:rPr>
          <w:rFonts w:asciiTheme="minorHAnsi" w:eastAsiaTheme="minorHAnsi" w:hAnsiTheme="minorHAnsi" w:cstheme="minorHAnsi"/>
          <w:color w:val="000000"/>
          <w:szCs w:val="20"/>
        </w:rPr>
        <w:t>from members of</w:t>
      </w:r>
      <w:r w:rsidR="00956E94">
        <w:rPr>
          <w:rFonts w:asciiTheme="minorHAnsi" w:eastAsiaTheme="minorHAnsi" w:hAnsiTheme="minorHAnsi" w:cstheme="minorHAnsi"/>
          <w:color w:val="000000"/>
          <w:szCs w:val="20"/>
        </w:rPr>
        <w:t xml:space="preserve"> the SUG and PUG,</w:t>
      </w:r>
      <w:r w:rsidRPr="008711F3">
        <w:rPr>
          <w:rFonts w:asciiTheme="minorHAnsi" w:eastAsiaTheme="minorHAnsi" w:hAnsiTheme="minorHAnsi" w:cstheme="minorHAnsi"/>
          <w:color w:val="000000"/>
          <w:szCs w:val="20"/>
        </w:rPr>
        <w:t xml:space="preserve"> and we thank them for taking the time to provide feedback to the ACNC.</w:t>
      </w:r>
    </w:p>
    <w:p w14:paraId="6E4139D6" w14:textId="77777777" w:rsidR="00DD1B5F" w:rsidRDefault="00DD1B5F" w:rsidP="00DD1B5F">
      <w:pPr>
        <w:spacing w:before="120"/>
        <w:jc w:val="both"/>
        <w:rPr>
          <w:rFonts w:ascii="Arial" w:eastAsiaTheme="minorHAnsi" w:hAnsi="Arial" w:cs="Verdana"/>
          <w:color w:val="000000"/>
          <w:szCs w:val="20"/>
        </w:rPr>
      </w:pPr>
    </w:p>
    <w:p w14:paraId="5754B88F" w14:textId="77777777" w:rsidR="00C162EB" w:rsidRDefault="00C162EB">
      <w:pPr>
        <w:spacing w:after="0"/>
        <w:rPr>
          <w:rFonts w:ascii="Arial Bold" w:hAnsi="Arial Bold"/>
          <w:b/>
          <w:bCs/>
          <w:iCs/>
          <w:color w:val="2C7890"/>
          <w:sz w:val="28"/>
          <w:szCs w:val="28"/>
          <w:lang w:eastAsia="en-AU"/>
        </w:rPr>
      </w:pPr>
      <w:r>
        <w:rPr>
          <w:rFonts w:ascii="Arial Bold" w:hAnsi="Arial Bold"/>
          <w:b/>
          <w:bCs/>
          <w:iCs/>
          <w:color w:val="2C7890"/>
          <w:sz w:val="28"/>
          <w:szCs w:val="28"/>
          <w:lang w:eastAsia="en-AU"/>
        </w:rPr>
        <w:br w:type="page"/>
      </w:r>
    </w:p>
    <w:p w14:paraId="68391C7D" w14:textId="77777777" w:rsidR="00DD1B5F" w:rsidRPr="008711F3" w:rsidRDefault="00DD1B5F" w:rsidP="008711F3">
      <w:pPr>
        <w:pStyle w:val="Heading4"/>
        <w:spacing w:before="240"/>
        <w:rPr>
          <w:rFonts w:ascii="Arial Bold" w:hAnsi="Arial Bold"/>
          <w:i w:val="0"/>
          <w:color w:val="2C7890"/>
          <w:sz w:val="28"/>
          <w:szCs w:val="28"/>
          <w:lang w:eastAsia="en-AU"/>
        </w:rPr>
      </w:pPr>
      <w:r w:rsidRPr="008711F3">
        <w:rPr>
          <w:rFonts w:ascii="Arial Bold" w:hAnsi="Arial Bold"/>
          <w:i w:val="0"/>
          <w:color w:val="2C7890"/>
          <w:sz w:val="28"/>
          <w:szCs w:val="28"/>
          <w:lang w:eastAsia="en-AU"/>
        </w:rPr>
        <w:lastRenderedPageBreak/>
        <w:t>Feedback</w:t>
      </w:r>
    </w:p>
    <w:p w14:paraId="7206DFBE" w14:textId="77777777" w:rsidR="00035C0F" w:rsidRPr="00035C0F" w:rsidRDefault="00035C0F" w:rsidP="00035C0F">
      <w:pPr>
        <w:pStyle w:val="Heading4"/>
        <w:spacing w:before="240"/>
        <w:rPr>
          <w:rFonts w:eastAsia="Calibri"/>
        </w:rPr>
      </w:pPr>
      <w:r>
        <w:rPr>
          <w:rFonts w:eastAsia="Calibri"/>
        </w:rPr>
        <w:t>Summary</w:t>
      </w:r>
    </w:p>
    <w:p w14:paraId="0CC2714A" w14:textId="52A0A785" w:rsidR="00C162EB" w:rsidRDefault="00956E94" w:rsidP="008711F3">
      <w:pPr>
        <w:pStyle w:val="Body"/>
        <w:rPr>
          <w:rFonts w:asciiTheme="minorHAnsi" w:eastAsiaTheme="minorHAnsi" w:hAnsiTheme="minorHAnsi" w:cstheme="minorHAnsi"/>
          <w:color w:val="000000"/>
          <w:sz w:val="22"/>
          <w:szCs w:val="20"/>
          <w:lang w:val="en-AU"/>
        </w:rPr>
      </w:pPr>
      <w:r>
        <w:rPr>
          <w:rFonts w:asciiTheme="minorHAnsi" w:eastAsiaTheme="minorHAnsi" w:hAnsiTheme="minorHAnsi" w:cstheme="minorHAnsi"/>
          <w:color w:val="000000"/>
          <w:sz w:val="22"/>
          <w:szCs w:val="20"/>
          <w:lang w:val="en-AU"/>
        </w:rPr>
        <w:t>A</w:t>
      </w:r>
      <w:r w:rsidR="00C162EB" w:rsidRPr="008711F3">
        <w:rPr>
          <w:rFonts w:asciiTheme="minorHAnsi" w:eastAsiaTheme="minorHAnsi" w:hAnsiTheme="minorHAnsi" w:cstheme="minorHAnsi"/>
          <w:color w:val="000000"/>
          <w:sz w:val="22"/>
          <w:szCs w:val="20"/>
          <w:lang w:val="en-AU"/>
        </w:rPr>
        <w:t xml:space="preserve"> large majority of responses agreed with the ACNC’s self-assessment. In particular, all stakeholders agreed with the ACNC’s overall self-assessment.</w:t>
      </w:r>
    </w:p>
    <w:p w14:paraId="1A80E1B4" w14:textId="77777777" w:rsidR="00956E94" w:rsidRPr="008711F3" w:rsidRDefault="00956E94" w:rsidP="008711F3">
      <w:pPr>
        <w:pStyle w:val="Body"/>
        <w:rPr>
          <w:rFonts w:asciiTheme="minorHAnsi" w:eastAsiaTheme="minorHAnsi" w:hAnsiTheme="minorHAnsi" w:cstheme="minorHAnsi"/>
          <w:color w:val="000000"/>
          <w:sz w:val="22"/>
          <w:szCs w:val="20"/>
          <w:lang w:val="en-AU"/>
        </w:rPr>
      </w:pPr>
      <w:r>
        <w:rPr>
          <w:rFonts w:asciiTheme="minorHAnsi" w:eastAsiaTheme="minorHAnsi" w:hAnsiTheme="minorHAnsi" w:cstheme="minorHAnsi"/>
          <w:color w:val="000000"/>
          <w:sz w:val="22"/>
          <w:szCs w:val="20"/>
          <w:lang w:val="en-AU"/>
        </w:rPr>
        <w:t>Feedback is summarised at Figure A.</w:t>
      </w:r>
    </w:p>
    <w:p w14:paraId="5D5F643F" w14:textId="77777777" w:rsidR="00956E94" w:rsidRDefault="00956E94" w:rsidP="00956E94">
      <w:pPr>
        <w:pStyle w:val="Body"/>
        <w:jc w:val="center"/>
        <w:rPr>
          <w:b/>
        </w:rPr>
      </w:pPr>
      <w:r w:rsidRPr="00956E94">
        <w:rPr>
          <w:rFonts w:ascii="Arial Bold" w:eastAsia="Times New Roman" w:hAnsi="Arial Bold"/>
          <w:b/>
          <w:bCs/>
          <w:iCs/>
          <w:noProof/>
          <w:color w:val="2C7890"/>
          <w:sz w:val="28"/>
          <w:szCs w:val="28"/>
          <w:lang w:val="en-AU" w:eastAsia="en-AU"/>
        </w:rPr>
        <w:drawing>
          <wp:inline distT="0" distB="0" distL="0" distR="0" wp14:anchorId="30931796" wp14:editId="15FC9E66">
            <wp:extent cx="5962650" cy="4810125"/>
            <wp:effectExtent l="0" t="0" r="0" b="9525"/>
            <wp:docPr id="33" name="Chart 33">
              <a:extLst xmlns:a="http://schemas.openxmlformats.org/drawingml/2006/main">
                <a:ext uri="{FF2B5EF4-FFF2-40B4-BE49-F238E27FC236}">
                  <a16:creationId xmlns:a16="http://schemas.microsoft.com/office/drawing/2014/main" id="{1C16E930-E6A0-48AA-BADF-6B20473CA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r>
        <w:rPr>
          <w:b/>
        </w:rPr>
        <w:t xml:space="preserve">      </w:t>
      </w:r>
    </w:p>
    <w:p w14:paraId="2F95A505" w14:textId="77777777" w:rsidR="00956E94" w:rsidRPr="00956E94" w:rsidRDefault="00956E94" w:rsidP="00D132B4">
      <w:pPr>
        <w:pStyle w:val="Body"/>
        <w:jc w:val="center"/>
        <w:rPr>
          <w:rFonts w:ascii="Arial Bold" w:eastAsia="Times New Roman" w:hAnsi="Arial Bold"/>
          <w:b/>
          <w:bCs/>
          <w:iCs/>
          <w:color w:val="2C7890"/>
          <w:sz w:val="28"/>
          <w:szCs w:val="28"/>
          <w:lang w:eastAsia="en-AU"/>
        </w:rPr>
      </w:pPr>
      <w:r w:rsidRPr="00956E94">
        <w:rPr>
          <w:b/>
        </w:rPr>
        <w:t>Figure A</w:t>
      </w:r>
    </w:p>
    <w:p w14:paraId="1AE88C62" w14:textId="77777777" w:rsidR="00761293" w:rsidRDefault="00761293">
      <w:pPr>
        <w:spacing w:after="0"/>
        <w:rPr>
          <w:rFonts w:eastAsia="Calibri"/>
          <w:b/>
          <w:bCs/>
          <w:i/>
          <w:iCs/>
          <w:color w:val="4F81BD"/>
          <w:szCs w:val="22"/>
        </w:rPr>
      </w:pPr>
      <w:r>
        <w:rPr>
          <w:rFonts w:eastAsia="Calibri"/>
        </w:rPr>
        <w:br w:type="page"/>
      </w:r>
    </w:p>
    <w:p w14:paraId="665E3DBA" w14:textId="77777777" w:rsidR="00035C0F" w:rsidRPr="00035C0F" w:rsidRDefault="00C94441" w:rsidP="00035C0F">
      <w:pPr>
        <w:pStyle w:val="Heading4"/>
        <w:spacing w:before="240"/>
        <w:rPr>
          <w:rFonts w:eastAsia="Calibri"/>
        </w:rPr>
      </w:pPr>
      <w:r>
        <w:rPr>
          <w:rFonts w:eastAsia="Calibri"/>
        </w:rPr>
        <w:lastRenderedPageBreak/>
        <w:t>Differences in ratings</w:t>
      </w:r>
    </w:p>
    <w:p w14:paraId="4872F644" w14:textId="77777777" w:rsidR="00C162EB" w:rsidRPr="009163A6" w:rsidRDefault="000741BB" w:rsidP="00F0688C">
      <w:pPr>
        <w:spacing w:before="120"/>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 xml:space="preserve">Some members of </w:t>
      </w:r>
      <w:r w:rsidR="00820F71">
        <w:rPr>
          <w:rFonts w:asciiTheme="minorHAnsi" w:eastAsiaTheme="minorHAnsi" w:hAnsiTheme="minorHAnsi" w:cstheme="minorHAnsi"/>
          <w:color w:val="000000"/>
          <w:szCs w:val="20"/>
        </w:rPr>
        <w:t>the S</w:t>
      </w:r>
      <w:r>
        <w:rPr>
          <w:rFonts w:asciiTheme="minorHAnsi" w:eastAsiaTheme="minorHAnsi" w:hAnsiTheme="minorHAnsi" w:cstheme="minorHAnsi"/>
          <w:color w:val="000000"/>
          <w:szCs w:val="20"/>
        </w:rPr>
        <w:t xml:space="preserve">UG and </w:t>
      </w:r>
      <w:r w:rsidR="00820F71">
        <w:rPr>
          <w:rFonts w:asciiTheme="minorHAnsi" w:eastAsiaTheme="minorHAnsi" w:hAnsiTheme="minorHAnsi" w:cstheme="minorHAnsi"/>
          <w:color w:val="000000"/>
          <w:szCs w:val="20"/>
        </w:rPr>
        <w:t>P</w:t>
      </w:r>
      <w:r>
        <w:rPr>
          <w:rFonts w:asciiTheme="minorHAnsi" w:eastAsiaTheme="minorHAnsi" w:hAnsiTheme="minorHAnsi" w:cstheme="minorHAnsi"/>
          <w:color w:val="000000"/>
          <w:szCs w:val="20"/>
        </w:rPr>
        <w:t>UG did not agree w</w:t>
      </w:r>
      <w:r w:rsidR="00C162EB" w:rsidRPr="009163A6">
        <w:rPr>
          <w:rFonts w:asciiTheme="minorHAnsi" w:eastAsiaTheme="minorHAnsi" w:hAnsiTheme="minorHAnsi" w:cstheme="minorHAnsi"/>
          <w:color w:val="000000"/>
          <w:szCs w:val="20"/>
        </w:rPr>
        <w:t xml:space="preserve">ith </w:t>
      </w:r>
      <w:r w:rsidR="003C591E" w:rsidRPr="009163A6">
        <w:rPr>
          <w:rFonts w:asciiTheme="minorHAnsi" w:eastAsiaTheme="minorHAnsi" w:hAnsiTheme="minorHAnsi" w:cstheme="minorHAnsi"/>
          <w:color w:val="000000"/>
          <w:szCs w:val="20"/>
        </w:rPr>
        <w:t xml:space="preserve">the ACNC’s self-assessment </w:t>
      </w:r>
      <w:r w:rsidR="00C861E7">
        <w:rPr>
          <w:rFonts w:asciiTheme="minorHAnsi" w:eastAsiaTheme="minorHAnsi" w:hAnsiTheme="minorHAnsi" w:cstheme="minorHAnsi"/>
          <w:color w:val="000000"/>
          <w:szCs w:val="20"/>
        </w:rPr>
        <w:t xml:space="preserve">for the </w:t>
      </w:r>
      <w:r w:rsidR="003C591E" w:rsidRPr="009163A6">
        <w:rPr>
          <w:rFonts w:asciiTheme="minorHAnsi" w:eastAsiaTheme="minorHAnsi" w:hAnsiTheme="minorHAnsi" w:cstheme="minorHAnsi"/>
          <w:color w:val="000000"/>
          <w:szCs w:val="20"/>
        </w:rPr>
        <w:t xml:space="preserve">KPIs. </w:t>
      </w:r>
      <w:r>
        <w:rPr>
          <w:rFonts w:asciiTheme="minorHAnsi" w:eastAsiaTheme="minorHAnsi" w:hAnsiTheme="minorHAnsi" w:cstheme="minorHAnsi"/>
          <w:color w:val="000000"/>
          <w:szCs w:val="20"/>
        </w:rPr>
        <w:t>In these situations</w:t>
      </w:r>
      <w:r w:rsidR="003C591E" w:rsidRPr="009163A6">
        <w:rPr>
          <w:rFonts w:asciiTheme="minorHAnsi" w:eastAsiaTheme="minorHAnsi" w:hAnsiTheme="minorHAnsi" w:cstheme="minorHAnsi"/>
          <w:color w:val="000000"/>
          <w:szCs w:val="20"/>
        </w:rPr>
        <w:t xml:space="preserve">, the large majority of respondents advised that the ACNC’s </w:t>
      </w:r>
      <w:r w:rsidR="00820F71">
        <w:rPr>
          <w:rFonts w:asciiTheme="minorHAnsi" w:eastAsiaTheme="minorHAnsi" w:hAnsiTheme="minorHAnsi" w:cstheme="minorHAnsi"/>
          <w:color w:val="000000"/>
          <w:szCs w:val="20"/>
        </w:rPr>
        <w:t>rating</w:t>
      </w:r>
      <w:r w:rsidR="003C591E" w:rsidRPr="009163A6">
        <w:rPr>
          <w:rFonts w:asciiTheme="minorHAnsi" w:eastAsiaTheme="minorHAnsi" w:hAnsiTheme="minorHAnsi" w:cstheme="minorHAnsi"/>
          <w:color w:val="000000"/>
          <w:szCs w:val="20"/>
        </w:rPr>
        <w:t xml:space="preserve"> should be higher</w:t>
      </w:r>
      <w:r w:rsidR="00C861E7">
        <w:rPr>
          <w:rFonts w:asciiTheme="minorHAnsi" w:eastAsiaTheme="minorHAnsi" w:hAnsiTheme="minorHAnsi" w:cstheme="minorHAnsi"/>
          <w:color w:val="000000"/>
          <w:szCs w:val="20"/>
        </w:rPr>
        <w:t>, as described in Table B below</w:t>
      </w:r>
      <w:r w:rsidR="003C591E" w:rsidRPr="009163A6">
        <w:rPr>
          <w:rFonts w:asciiTheme="minorHAnsi" w:eastAsiaTheme="minorHAnsi" w:hAnsiTheme="minorHAnsi" w:cstheme="minorHAnsi"/>
          <w:color w:val="000000"/>
          <w:szCs w:val="20"/>
        </w:rPr>
        <w:t xml:space="preserve">. </w:t>
      </w:r>
    </w:p>
    <w:tbl>
      <w:tblPr>
        <w:tblW w:w="9346" w:type="dxa"/>
        <w:tblCellMar>
          <w:left w:w="0" w:type="dxa"/>
          <w:right w:w="0" w:type="dxa"/>
        </w:tblCellMar>
        <w:tblLook w:val="04A0" w:firstRow="1" w:lastRow="0" w:firstColumn="1" w:lastColumn="0" w:noHBand="0" w:noVBand="1"/>
      </w:tblPr>
      <w:tblGrid>
        <w:gridCol w:w="937"/>
        <w:gridCol w:w="1464"/>
        <w:gridCol w:w="1275"/>
        <w:gridCol w:w="5670"/>
      </w:tblGrid>
      <w:tr w:rsidR="00074829" w:rsidRPr="00074829" w14:paraId="28C2C25A" w14:textId="77777777" w:rsidTr="00D132B4">
        <w:trPr>
          <w:trHeight w:val="420"/>
        </w:trPr>
        <w:tc>
          <w:tcPr>
            <w:tcW w:w="937" w:type="dxa"/>
            <w:tcBorders>
              <w:top w:val="single" w:sz="8" w:space="0" w:color="FFFFFF"/>
              <w:left w:val="single" w:sz="8" w:space="0" w:color="FFFFFF"/>
              <w:bottom w:val="single" w:sz="24" w:space="0" w:color="FFFFFF"/>
              <w:right w:val="single" w:sz="8" w:space="0" w:color="FFFFFF"/>
            </w:tcBorders>
            <w:shd w:val="clear" w:color="auto" w:fill="2BAD29"/>
            <w:tcMar>
              <w:top w:w="15" w:type="dxa"/>
              <w:left w:w="57" w:type="dxa"/>
              <w:bottom w:w="0" w:type="dxa"/>
              <w:right w:w="57" w:type="dxa"/>
            </w:tcMar>
            <w:hideMark/>
          </w:tcPr>
          <w:p w14:paraId="7D5E658B"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Indicator</w:t>
            </w:r>
          </w:p>
        </w:tc>
        <w:tc>
          <w:tcPr>
            <w:tcW w:w="1464" w:type="dxa"/>
            <w:tcBorders>
              <w:top w:val="single" w:sz="8" w:space="0" w:color="FFFFFF"/>
              <w:left w:val="single" w:sz="8" w:space="0" w:color="FFFFFF"/>
              <w:bottom w:val="single" w:sz="24" w:space="0" w:color="FFFFFF"/>
              <w:right w:val="single" w:sz="8" w:space="0" w:color="FFFFFF"/>
            </w:tcBorders>
            <w:shd w:val="clear" w:color="auto" w:fill="2BAD29"/>
            <w:tcMar>
              <w:top w:w="15" w:type="dxa"/>
              <w:left w:w="57" w:type="dxa"/>
              <w:bottom w:w="0" w:type="dxa"/>
              <w:right w:w="57" w:type="dxa"/>
            </w:tcMar>
            <w:hideMark/>
          </w:tcPr>
          <w:p w14:paraId="296A7358"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Relevant User Group</w:t>
            </w:r>
          </w:p>
        </w:tc>
        <w:tc>
          <w:tcPr>
            <w:tcW w:w="1275" w:type="dxa"/>
            <w:tcBorders>
              <w:top w:val="single" w:sz="8" w:space="0" w:color="FFFFFF"/>
              <w:left w:val="single" w:sz="8" w:space="0" w:color="FFFFFF"/>
              <w:bottom w:val="single" w:sz="24" w:space="0" w:color="FFFFFF"/>
              <w:right w:val="single" w:sz="8" w:space="0" w:color="FFFFFF"/>
            </w:tcBorders>
            <w:shd w:val="clear" w:color="auto" w:fill="2BAD29"/>
            <w:tcMar>
              <w:top w:w="15" w:type="dxa"/>
              <w:left w:w="57" w:type="dxa"/>
              <w:bottom w:w="0" w:type="dxa"/>
              <w:right w:w="57" w:type="dxa"/>
            </w:tcMar>
            <w:hideMark/>
          </w:tcPr>
          <w:p w14:paraId="73D7B588"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Should the rating be higher or lower?</w:t>
            </w:r>
          </w:p>
        </w:tc>
        <w:tc>
          <w:tcPr>
            <w:tcW w:w="5670" w:type="dxa"/>
            <w:tcBorders>
              <w:top w:val="single" w:sz="8" w:space="0" w:color="FFFFFF"/>
              <w:left w:val="single" w:sz="8" w:space="0" w:color="FFFFFF"/>
              <w:bottom w:val="single" w:sz="24" w:space="0" w:color="FFFFFF"/>
              <w:right w:val="single" w:sz="8" w:space="0" w:color="FFFFFF"/>
            </w:tcBorders>
            <w:shd w:val="clear" w:color="auto" w:fill="2BAD29"/>
            <w:tcMar>
              <w:top w:w="15" w:type="dxa"/>
              <w:left w:w="57" w:type="dxa"/>
              <w:bottom w:w="0" w:type="dxa"/>
              <w:right w:w="57" w:type="dxa"/>
            </w:tcMar>
            <w:hideMark/>
          </w:tcPr>
          <w:p w14:paraId="355C15F2"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Reasons (if provided)</w:t>
            </w:r>
          </w:p>
        </w:tc>
      </w:tr>
      <w:tr w:rsidR="00074829" w:rsidRPr="00074829" w14:paraId="5916D530" w14:textId="77777777" w:rsidTr="00D132B4">
        <w:trPr>
          <w:trHeight w:val="560"/>
        </w:trPr>
        <w:tc>
          <w:tcPr>
            <w:tcW w:w="937" w:type="dxa"/>
            <w:tcBorders>
              <w:top w:val="single" w:sz="24"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52A6BD94"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KPI 1</w:t>
            </w:r>
          </w:p>
        </w:tc>
        <w:tc>
          <w:tcPr>
            <w:tcW w:w="1464" w:type="dxa"/>
            <w:tcBorders>
              <w:top w:val="single" w:sz="24"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61C3AA29"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1 member from the PUG</w:t>
            </w:r>
          </w:p>
        </w:tc>
        <w:tc>
          <w:tcPr>
            <w:tcW w:w="1275" w:type="dxa"/>
            <w:tcBorders>
              <w:top w:val="single" w:sz="24"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2A63C71B"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Higher</w:t>
            </w:r>
          </w:p>
        </w:tc>
        <w:tc>
          <w:tcPr>
            <w:tcW w:w="5670" w:type="dxa"/>
            <w:tcBorders>
              <w:top w:val="single" w:sz="24"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50DA12FA" w14:textId="77777777" w:rsidR="00AF05FA" w:rsidRPr="00F0688C" w:rsidRDefault="00AF05FA" w:rsidP="00D132B4">
            <w:pPr>
              <w:pStyle w:val="Heading4"/>
              <w:numPr>
                <w:ilvl w:val="0"/>
                <w:numId w:val="30"/>
              </w:numPr>
              <w:spacing w:before="60"/>
              <w:jc w:val="left"/>
              <w:rPr>
                <w:rFonts w:eastAsia="Calibri"/>
                <w:b w:val="0"/>
                <w:i w:val="0"/>
                <w:color w:val="auto"/>
              </w:rPr>
            </w:pPr>
            <w:r w:rsidRPr="00F0688C">
              <w:rPr>
                <w:rFonts w:eastAsia="Calibri"/>
                <w:b w:val="0"/>
                <w:i w:val="0"/>
                <w:color w:val="auto"/>
              </w:rPr>
              <w:t>Of all the regulators I deal with, ACNC is a standout exemplar of assisting regulated bodies</w:t>
            </w:r>
            <w:r w:rsidR="00C861E7">
              <w:rPr>
                <w:rFonts w:eastAsia="Calibri"/>
                <w:b w:val="0"/>
                <w:i w:val="0"/>
                <w:color w:val="auto"/>
              </w:rPr>
              <w:t>.</w:t>
            </w:r>
          </w:p>
        </w:tc>
      </w:tr>
      <w:tr w:rsidR="00074829" w:rsidRPr="00074829" w14:paraId="02CD6B4C" w14:textId="77777777" w:rsidTr="00D132B4">
        <w:trPr>
          <w:trHeight w:val="560"/>
        </w:trPr>
        <w:tc>
          <w:tcPr>
            <w:tcW w:w="937" w:type="dxa"/>
            <w:tcBorders>
              <w:top w:val="single" w:sz="8"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5BFD8081"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KPI 2</w:t>
            </w:r>
          </w:p>
        </w:tc>
        <w:tc>
          <w:tcPr>
            <w:tcW w:w="1464"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2737CE8C"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1 member from the SUG</w:t>
            </w:r>
          </w:p>
        </w:tc>
        <w:tc>
          <w:tcPr>
            <w:tcW w:w="1275"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22FBAA1A"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Higher</w:t>
            </w:r>
          </w:p>
        </w:tc>
        <w:tc>
          <w:tcPr>
            <w:tcW w:w="5670"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2BB967BC" w14:textId="77777777" w:rsidR="00074829" w:rsidRPr="00F0688C" w:rsidRDefault="00074829" w:rsidP="00D132B4">
            <w:pPr>
              <w:pStyle w:val="Heading4"/>
              <w:spacing w:before="60"/>
              <w:jc w:val="left"/>
              <w:rPr>
                <w:rFonts w:eastAsia="Calibri"/>
                <w:b w:val="0"/>
                <w:i w:val="0"/>
                <w:color w:val="auto"/>
              </w:rPr>
            </w:pPr>
            <w:r w:rsidRPr="00F0688C">
              <w:rPr>
                <w:rFonts w:eastAsia="Calibri"/>
                <w:b w:val="0"/>
                <w:i w:val="0"/>
                <w:color w:val="auto"/>
              </w:rPr>
              <w:t> </w:t>
            </w:r>
          </w:p>
        </w:tc>
      </w:tr>
      <w:tr w:rsidR="00074829" w:rsidRPr="00074829" w14:paraId="472C7079" w14:textId="77777777" w:rsidTr="00D132B4">
        <w:trPr>
          <w:trHeight w:val="140"/>
        </w:trPr>
        <w:tc>
          <w:tcPr>
            <w:tcW w:w="937" w:type="dxa"/>
            <w:tcBorders>
              <w:top w:val="single" w:sz="8"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1D99E77A"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KPI 3</w:t>
            </w:r>
          </w:p>
        </w:tc>
        <w:tc>
          <w:tcPr>
            <w:tcW w:w="8409" w:type="dxa"/>
            <w:gridSpan w:val="3"/>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3451F4E3"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All respondents agreed with the ACNC’s self-assessment</w:t>
            </w:r>
          </w:p>
        </w:tc>
      </w:tr>
      <w:tr w:rsidR="00074829" w:rsidRPr="00074829" w14:paraId="0133AB90" w14:textId="77777777" w:rsidTr="00D132B4">
        <w:trPr>
          <w:trHeight w:val="560"/>
        </w:trPr>
        <w:tc>
          <w:tcPr>
            <w:tcW w:w="937"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0EE39ACA"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KPI 4</w:t>
            </w:r>
          </w:p>
        </w:tc>
        <w:tc>
          <w:tcPr>
            <w:tcW w:w="1464"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4CB60023"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1 member from the PUG</w:t>
            </w:r>
          </w:p>
        </w:tc>
        <w:tc>
          <w:tcPr>
            <w:tcW w:w="1275"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7D3026DD"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Lower</w:t>
            </w:r>
          </w:p>
        </w:tc>
        <w:tc>
          <w:tcPr>
            <w:tcW w:w="5670"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3B4FD88F" w14:textId="77777777" w:rsidR="00AF05FA" w:rsidRPr="00F0688C" w:rsidRDefault="003D7225" w:rsidP="00D132B4">
            <w:pPr>
              <w:pStyle w:val="Heading4"/>
              <w:numPr>
                <w:ilvl w:val="0"/>
                <w:numId w:val="31"/>
              </w:numPr>
              <w:spacing w:before="60"/>
              <w:jc w:val="left"/>
              <w:rPr>
                <w:rFonts w:eastAsia="Calibri"/>
                <w:b w:val="0"/>
                <w:i w:val="0"/>
                <w:color w:val="auto"/>
              </w:rPr>
            </w:pPr>
            <w:r w:rsidRPr="00F0688C">
              <w:rPr>
                <w:rFonts w:eastAsia="Calibri"/>
                <w:b w:val="0"/>
                <w:i w:val="0"/>
                <w:color w:val="auto"/>
              </w:rPr>
              <w:t>I do not have sufficient knowledge to comment on this.</w:t>
            </w:r>
          </w:p>
        </w:tc>
      </w:tr>
      <w:tr w:rsidR="00074829" w:rsidRPr="00074829" w14:paraId="2CA3938C" w14:textId="77777777" w:rsidTr="00D132B4">
        <w:trPr>
          <w:trHeight w:val="56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6495CF9" w14:textId="77777777" w:rsidR="00074829" w:rsidRPr="00AF05FA" w:rsidRDefault="00074829" w:rsidP="00AF05FA">
            <w:pPr>
              <w:pStyle w:val="Heading4"/>
              <w:spacing w:before="60"/>
              <w:jc w:val="center"/>
              <w:rPr>
                <w:rFonts w:eastAsia="Calibri"/>
                <w:i w:val="0"/>
                <w:color w:val="auto"/>
              </w:rPr>
            </w:pPr>
          </w:p>
        </w:tc>
        <w:tc>
          <w:tcPr>
            <w:tcW w:w="1464"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37809600"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1 member from the SUG</w:t>
            </w:r>
          </w:p>
        </w:tc>
        <w:tc>
          <w:tcPr>
            <w:tcW w:w="1275"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5B073F43"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Lower</w:t>
            </w:r>
          </w:p>
        </w:tc>
        <w:tc>
          <w:tcPr>
            <w:tcW w:w="5670"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4012CF32" w14:textId="77777777" w:rsidR="00AF05FA" w:rsidRPr="00F0688C" w:rsidRDefault="003D7225" w:rsidP="00D132B4">
            <w:pPr>
              <w:pStyle w:val="Heading4"/>
              <w:numPr>
                <w:ilvl w:val="0"/>
                <w:numId w:val="32"/>
              </w:numPr>
              <w:spacing w:before="60"/>
              <w:jc w:val="left"/>
              <w:rPr>
                <w:rFonts w:eastAsia="Calibri"/>
                <w:b w:val="0"/>
                <w:i w:val="0"/>
                <w:color w:val="auto"/>
              </w:rPr>
            </w:pPr>
            <w:r w:rsidRPr="00F0688C">
              <w:rPr>
                <w:rFonts w:eastAsia="Calibri"/>
                <w:b w:val="0"/>
                <w:i w:val="0"/>
                <w:color w:val="auto"/>
              </w:rPr>
              <w:t>The benefits of a regulator remain to be realised in terms of less red tape for charities.</w:t>
            </w:r>
          </w:p>
        </w:tc>
      </w:tr>
      <w:tr w:rsidR="00074829" w:rsidRPr="00074829" w14:paraId="4415EC02" w14:textId="77777777" w:rsidTr="00D132B4">
        <w:trPr>
          <w:trHeight w:val="560"/>
        </w:trPr>
        <w:tc>
          <w:tcPr>
            <w:tcW w:w="937"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1A60284B"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KPI 5</w:t>
            </w:r>
          </w:p>
        </w:tc>
        <w:tc>
          <w:tcPr>
            <w:tcW w:w="1464"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75F69531"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3 members from the PUG</w:t>
            </w:r>
          </w:p>
        </w:tc>
        <w:tc>
          <w:tcPr>
            <w:tcW w:w="1275"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0FC671BD"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Higher</w:t>
            </w:r>
          </w:p>
        </w:tc>
        <w:tc>
          <w:tcPr>
            <w:tcW w:w="5670"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4B0619BB" w14:textId="77777777" w:rsidR="00AF05FA" w:rsidRPr="00F0688C" w:rsidRDefault="00AF05FA" w:rsidP="00D132B4">
            <w:pPr>
              <w:pStyle w:val="Heading4"/>
              <w:numPr>
                <w:ilvl w:val="0"/>
                <w:numId w:val="33"/>
              </w:numPr>
              <w:spacing w:before="60"/>
              <w:jc w:val="left"/>
              <w:rPr>
                <w:rFonts w:eastAsia="Calibri"/>
                <w:b w:val="0"/>
                <w:i w:val="0"/>
                <w:color w:val="auto"/>
              </w:rPr>
            </w:pPr>
            <w:r w:rsidRPr="00F0688C">
              <w:rPr>
                <w:rFonts w:eastAsia="Calibri"/>
                <w:b w:val="0"/>
                <w:i w:val="0"/>
                <w:color w:val="auto"/>
              </w:rPr>
              <w:t>ACNC’s dealings with regulated entities is exemplary.</w:t>
            </w:r>
          </w:p>
        </w:tc>
      </w:tr>
      <w:tr w:rsidR="00074829" w:rsidRPr="00074829" w14:paraId="13486442" w14:textId="77777777" w:rsidTr="00D132B4">
        <w:trPr>
          <w:trHeight w:val="56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80BD0BC" w14:textId="77777777" w:rsidR="00074829" w:rsidRPr="00AF05FA" w:rsidRDefault="00074829" w:rsidP="00AF05FA">
            <w:pPr>
              <w:pStyle w:val="Heading4"/>
              <w:spacing w:before="60"/>
              <w:jc w:val="center"/>
              <w:rPr>
                <w:rFonts w:eastAsia="Calibri"/>
                <w:i w:val="0"/>
                <w:color w:val="auto"/>
              </w:rPr>
            </w:pPr>
          </w:p>
        </w:tc>
        <w:tc>
          <w:tcPr>
            <w:tcW w:w="1464"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18538521"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1 member from the SUG</w:t>
            </w:r>
          </w:p>
        </w:tc>
        <w:tc>
          <w:tcPr>
            <w:tcW w:w="1275"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57270BBE" w14:textId="77777777" w:rsidR="00074829" w:rsidRPr="00F0688C" w:rsidRDefault="00927A8C" w:rsidP="009E4556">
            <w:pPr>
              <w:pStyle w:val="Heading4"/>
              <w:spacing w:before="60"/>
              <w:jc w:val="center"/>
              <w:rPr>
                <w:rFonts w:eastAsia="Calibri"/>
                <w:b w:val="0"/>
                <w:i w:val="0"/>
                <w:color w:val="auto"/>
              </w:rPr>
            </w:pPr>
            <w:r>
              <w:rPr>
                <w:rFonts w:eastAsia="Calibri"/>
                <w:b w:val="0"/>
                <w:i w:val="0"/>
                <w:color w:val="auto"/>
              </w:rPr>
              <w:t>Higher</w:t>
            </w:r>
          </w:p>
        </w:tc>
        <w:tc>
          <w:tcPr>
            <w:tcW w:w="5670"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0FFA602D" w14:textId="77777777" w:rsidR="00AF05FA" w:rsidRPr="00F0688C" w:rsidRDefault="00AF05FA" w:rsidP="00D132B4">
            <w:pPr>
              <w:pStyle w:val="Heading4"/>
              <w:numPr>
                <w:ilvl w:val="0"/>
                <w:numId w:val="34"/>
              </w:numPr>
              <w:spacing w:before="60"/>
              <w:jc w:val="left"/>
              <w:rPr>
                <w:rFonts w:eastAsia="Calibri"/>
                <w:b w:val="0"/>
                <w:i w:val="0"/>
                <w:color w:val="auto"/>
              </w:rPr>
            </w:pPr>
            <w:r w:rsidRPr="00F0688C">
              <w:rPr>
                <w:rFonts w:eastAsia="Calibri"/>
                <w:b w:val="0"/>
                <w:i w:val="0"/>
                <w:color w:val="auto"/>
              </w:rPr>
              <w:t>From our interactions dealings with regulated entities has been exemplary.</w:t>
            </w:r>
          </w:p>
        </w:tc>
      </w:tr>
      <w:tr w:rsidR="00074829" w:rsidRPr="00074829" w14:paraId="3EA5E810" w14:textId="77777777" w:rsidTr="00D132B4">
        <w:trPr>
          <w:trHeight w:val="2367"/>
        </w:trPr>
        <w:tc>
          <w:tcPr>
            <w:tcW w:w="937"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5B3AFD82"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KPI 6</w:t>
            </w:r>
          </w:p>
        </w:tc>
        <w:tc>
          <w:tcPr>
            <w:tcW w:w="1464"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011C53A6"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3 members from the PUG</w:t>
            </w:r>
          </w:p>
        </w:tc>
        <w:tc>
          <w:tcPr>
            <w:tcW w:w="1275"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36C1BE9A"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Higher</w:t>
            </w:r>
          </w:p>
        </w:tc>
        <w:tc>
          <w:tcPr>
            <w:tcW w:w="5670" w:type="dxa"/>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41B9F5BC" w14:textId="77777777" w:rsidR="00AF05FA" w:rsidRPr="00F0688C" w:rsidRDefault="00AF05FA" w:rsidP="00D132B4">
            <w:pPr>
              <w:pStyle w:val="Heading4"/>
              <w:numPr>
                <w:ilvl w:val="0"/>
                <w:numId w:val="35"/>
              </w:numPr>
              <w:spacing w:before="60"/>
              <w:jc w:val="left"/>
              <w:rPr>
                <w:rFonts w:eastAsia="Calibri"/>
                <w:b w:val="0"/>
                <w:i w:val="0"/>
                <w:color w:val="auto"/>
              </w:rPr>
            </w:pPr>
            <w:r w:rsidRPr="00F0688C">
              <w:rPr>
                <w:rFonts w:eastAsia="Calibri"/>
                <w:b w:val="0"/>
                <w:i w:val="0"/>
                <w:color w:val="auto"/>
              </w:rPr>
              <w:t xml:space="preserve">We commend the ACNC for its ongoing efforts to remove duplicated reporting and its support of efforts to fix the regulation of fundraising. We also acknowledge the ACNC’s efforts to produce a comprehensive submission for the Review of Australian Charities and Not-for-profits Commission legislation, and to do so in a timely manner, enabling others to respond to the ACNC’s submission in their own submissions. </w:t>
            </w:r>
          </w:p>
          <w:p w14:paraId="1614FFCC" w14:textId="77777777" w:rsidR="00AF05FA" w:rsidRPr="00F0688C" w:rsidRDefault="00AF05FA" w:rsidP="00D132B4">
            <w:pPr>
              <w:pStyle w:val="Heading4"/>
              <w:numPr>
                <w:ilvl w:val="0"/>
                <w:numId w:val="35"/>
              </w:numPr>
              <w:spacing w:before="60"/>
              <w:jc w:val="left"/>
              <w:rPr>
                <w:rFonts w:eastAsia="Calibri"/>
                <w:b w:val="0"/>
                <w:i w:val="0"/>
                <w:color w:val="auto"/>
              </w:rPr>
            </w:pPr>
            <w:r w:rsidRPr="00F0688C">
              <w:rPr>
                <w:rFonts w:eastAsia="Calibri"/>
                <w:b w:val="0"/>
                <w:i w:val="0"/>
                <w:color w:val="auto"/>
              </w:rPr>
              <w:t>The ACNC has down</w:t>
            </w:r>
            <w:r w:rsidR="00927A8C">
              <w:rPr>
                <w:rFonts w:eastAsia="Calibri"/>
                <w:b w:val="0"/>
                <w:i w:val="0"/>
                <w:color w:val="auto"/>
              </w:rPr>
              <w:t xml:space="preserve"> [</w:t>
            </w:r>
            <w:r w:rsidR="00927A8C" w:rsidRPr="00927A8C">
              <w:rPr>
                <w:rFonts w:eastAsia="Calibri"/>
                <w:b w:val="0"/>
                <w:color w:val="auto"/>
              </w:rPr>
              <w:t>sic</w:t>
            </w:r>
            <w:r w:rsidR="00927A8C">
              <w:rPr>
                <w:rFonts w:eastAsia="Calibri"/>
                <w:b w:val="0"/>
                <w:i w:val="0"/>
                <w:color w:val="auto"/>
              </w:rPr>
              <w:t>]</w:t>
            </w:r>
            <w:r w:rsidRPr="00F0688C">
              <w:rPr>
                <w:rFonts w:eastAsia="Calibri"/>
                <w:b w:val="0"/>
                <w:i w:val="0"/>
                <w:color w:val="auto"/>
              </w:rPr>
              <w:t xml:space="preserve"> an excellent job in this area and has under rated itself</w:t>
            </w:r>
            <w:r w:rsidR="00927A8C">
              <w:rPr>
                <w:rFonts w:eastAsia="Calibri"/>
                <w:b w:val="0"/>
                <w:i w:val="0"/>
                <w:color w:val="auto"/>
              </w:rPr>
              <w:t>.</w:t>
            </w:r>
          </w:p>
        </w:tc>
      </w:tr>
      <w:tr w:rsidR="00074829" w:rsidRPr="00074829" w14:paraId="417A4F2E" w14:textId="77777777" w:rsidTr="00D132B4">
        <w:trPr>
          <w:trHeight w:val="56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DC47511" w14:textId="77777777" w:rsidR="00074829" w:rsidRPr="00AF05FA" w:rsidRDefault="00074829" w:rsidP="00AF05FA">
            <w:pPr>
              <w:pStyle w:val="Heading4"/>
              <w:spacing w:before="60"/>
              <w:jc w:val="center"/>
              <w:rPr>
                <w:rFonts w:eastAsia="Calibri"/>
                <w:i w:val="0"/>
                <w:color w:val="auto"/>
              </w:rPr>
            </w:pPr>
          </w:p>
        </w:tc>
        <w:tc>
          <w:tcPr>
            <w:tcW w:w="1464"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74CC0369" w14:textId="77777777" w:rsidR="00074829" w:rsidRPr="00F0688C" w:rsidRDefault="00074829" w:rsidP="009E4556">
            <w:pPr>
              <w:pStyle w:val="Heading4"/>
              <w:spacing w:before="60"/>
              <w:jc w:val="left"/>
              <w:rPr>
                <w:rFonts w:eastAsia="Calibri"/>
                <w:b w:val="0"/>
                <w:i w:val="0"/>
                <w:color w:val="auto"/>
              </w:rPr>
            </w:pPr>
            <w:r w:rsidRPr="00F0688C">
              <w:rPr>
                <w:rFonts w:eastAsia="Calibri"/>
                <w:b w:val="0"/>
                <w:i w:val="0"/>
                <w:color w:val="auto"/>
              </w:rPr>
              <w:t>1 member from the SUG</w:t>
            </w:r>
          </w:p>
        </w:tc>
        <w:tc>
          <w:tcPr>
            <w:tcW w:w="1275"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51ABC542"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Lower</w:t>
            </w:r>
          </w:p>
        </w:tc>
        <w:tc>
          <w:tcPr>
            <w:tcW w:w="5670" w:type="dxa"/>
            <w:tcBorders>
              <w:top w:val="single" w:sz="8" w:space="0" w:color="FFFFFF"/>
              <w:left w:val="single" w:sz="8" w:space="0" w:color="FFFFFF"/>
              <w:bottom w:val="single" w:sz="8" w:space="0" w:color="FFFFFF"/>
              <w:right w:val="single" w:sz="8" w:space="0" w:color="FFFFFF"/>
            </w:tcBorders>
            <w:shd w:val="clear" w:color="auto" w:fill="CDE3CD"/>
            <w:tcMar>
              <w:top w:w="15" w:type="dxa"/>
              <w:left w:w="57" w:type="dxa"/>
              <w:bottom w:w="0" w:type="dxa"/>
              <w:right w:w="57" w:type="dxa"/>
            </w:tcMar>
            <w:hideMark/>
          </w:tcPr>
          <w:p w14:paraId="45BB6764" w14:textId="77777777" w:rsidR="00AF05FA" w:rsidRPr="00F0688C" w:rsidRDefault="00AF05FA" w:rsidP="00D132B4">
            <w:pPr>
              <w:pStyle w:val="Heading4"/>
              <w:numPr>
                <w:ilvl w:val="0"/>
                <w:numId w:val="36"/>
              </w:numPr>
              <w:spacing w:before="60"/>
              <w:jc w:val="left"/>
              <w:rPr>
                <w:rFonts w:eastAsia="Calibri"/>
                <w:b w:val="0"/>
                <w:i w:val="0"/>
                <w:color w:val="auto"/>
              </w:rPr>
            </w:pPr>
            <w:r w:rsidRPr="00F0688C">
              <w:rPr>
                <w:rFonts w:eastAsia="Calibri"/>
                <w:b w:val="0"/>
                <w:i w:val="0"/>
                <w:color w:val="auto"/>
              </w:rPr>
              <w:t>Progress on duplicate reporting and fundraising licences Insufficient (not all ACNC's fault mind you).</w:t>
            </w:r>
          </w:p>
        </w:tc>
      </w:tr>
      <w:tr w:rsidR="00074829" w:rsidRPr="00074829" w14:paraId="43A9AF5B" w14:textId="77777777" w:rsidTr="00D132B4">
        <w:trPr>
          <w:trHeight w:val="280"/>
        </w:trPr>
        <w:tc>
          <w:tcPr>
            <w:tcW w:w="937" w:type="dxa"/>
            <w:tcBorders>
              <w:top w:val="single" w:sz="8" w:space="0" w:color="FFFFFF"/>
              <w:left w:val="single" w:sz="8" w:space="0" w:color="FFFFFF"/>
              <w:bottom w:val="single" w:sz="8" w:space="0" w:color="FFFFFF"/>
              <w:right w:val="single" w:sz="8" w:space="0" w:color="FFFFFF"/>
            </w:tcBorders>
            <w:shd w:val="clear" w:color="auto" w:fill="2BAD29"/>
            <w:tcMar>
              <w:top w:w="15" w:type="dxa"/>
              <w:left w:w="57" w:type="dxa"/>
              <w:bottom w:w="0" w:type="dxa"/>
              <w:right w:w="57" w:type="dxa"/>
            </w:tcMar>
            <w:hideMark/>
          </w:tcPr>
          <w:p w14:paraId="0C3C681D" w14:textId="77777777" w:rsidR="00074829" w:rsidRPr="00AF05FA" w:rsidRDefault="00074829" w:rsidP="00AF05FA">
            <w:pPr>
              <w:pStyle w:val="Heading4"/>
              <w:spacing w:before="60"/>
              <w:jc w:val="center"/>
              <w:rPr>
                <w:rFonts w:eastAsia="Calibri"/>
                <w:i w:val="0"/>
                <w:color w:val="auto"/>
              </w:rPr>
            </w:pPr>
            <w:r w:rsidRPr="00AF05FA">
              <w:rPr>
                <w:rFonts w:eastAsia="Calibri"/>
                <w:i w:val="0"/>
                <w:color w:val="auto"/>
              </w:rPr>
              <w:t>Overall rating</w:t>
            </w:r>
          </w:p>
        </w:tc>
        <w:tc>
          <w:tcPr>
            <w:tcW w:w="8409" w:type="dxa"/>
            <w:gridSpan w:val="3"/>
            <w:tcBorders>
              <w:top w:val="single" w:sz="8" w:space="0" w:color="FFFFFF"/>
              <w:left w:val="single" w:sz="8" w:space="0" w:color="FFFFFF"/>
              <w:bottom w:val="single" w:sz="8" w:space="0" w:color="FFFFFF"/>
              <w:right w:val="single" w:sz="8" w:space="0" w:color="FFFFFF"/>
            </w:tcBorders>
            <w:shd w:val="clear" w:color="auto" w:fill="E8F1E8"/>
            <w:tcMar>
              <w:top w:w="15" w:type="dxa"/>
              <w:left w:w="57" w:type="dxa"/>
              <w:bottom w:w="0" w:type="dxa"/>
              <w:right w:w="57" w:type="dxa"/>
            </w:tcMar>
            <w:hideMark/>
          </w:tcPr>
          <w:p w14:paraId="0472D032" w14:textId="77777777" w:rsidR="00074829" w:rsidRPr="00F0688C" w:rsidRDefault="00074829" w:rsidP="009E4556">
            <w:pPr>
              <w:pStyle w:val="Heading4"/>
              <w:spacing w:before="60"/>
              <w:jc w:val="center"/>
              <w:rPr>
                <w:rFonts w:eastAsia="Calibri"/>
                <w:b w:val="0"/>
                <w:i w:val="0"/>
                <w:color w:val="auto"/>
              </w:rPr>
            </w:pPr>
            <w:r w:rsidRPr="00F0688C">
              <w:rPr>
                <w:rFonts w:eastAsia="Calibri"/>
                <w:b w:val="0"/>
                <w:i w:val="0"/>
                <w:color w:val="auto"/>
              </w:rPr>
              <w:t xml:space="preserve">All respondents agreed with the </w:t>
            </w:r>
            <w:r w:rsidR="00BC24DC" w:rsidRPr="00F0688C">
              <w:rPr>
                <w:rFonts w:eastAsia="Calibri"/>
                <w:b w:val="0"/>
                <w:i w:val="0"/>
                <w:color w:val="auto"/>
              </w:rPr>
              <w:t xml:space="preserve">ACNC’s </w:t>
            </w:r>
            <w:r w:rsidR="00BC24DC">
              <w:rPr>
                <w:rFonts w:eastAsia="Calibri"/>
                <w:b w:val="0"/>
                <w:i w:val="0"/>
                <w:color w:val="auto"/>
              </w:rPr>
              <w:t>overall</w:t>
            </w:r>
            <w:r w:rsidR="00D37705">
              <w:rPr>
                <w:rFonts w:eastAsia="Calibri"/>
                <w:b w:val="0"/>
                <w:i w:val="0"/>
                <w:color w:val="auto"/>
              </w:rPr>
              <w:t xml:space="preserve"> </w:t>
            </w:r>
            <w:r w:rsidRPr="00F0688C">
              <w:rPr>
                <w:rFonts w:eastAsia="Calibri"/>
                <w:b w:val="0"/>
                <w:i w:val="0"/>
                <w:color w:val="auto"/>
              </w:rPr>
              <w:t>self-assessment</w:t>
            </w:r>
          </w:p>
        </w:tc>
      </w:tr>
    </w:tbl>
    <w:p w14:paraId="5FB921CE" w14:textId="77777777" w:rsidR="00C861E7" w:rsidRPr="00956E94" w:rsidRDefault="00D132B4" w:rsidP="00D132B4">
      <w:pPr>
        <w:pStyle w:val="Body"/>
        <w:jc w:val="center"/>
        <w:rPr>
          <w:rFonts w:ascii="Arial Bold" w:eastAsia="Times New Roman" w:hAnsi="Arial Bold"/>
          <w:b/>
          <w:bCs/>
          <w:iCs/>
          <w:color w:val="2C7890"/>
          <w:sz w:val="28"/>
          <w:szCs w:val="28"/>
          <w:lang w:eastAsia="en-AU"/>
        </w:rPr>
      </w:pPr>
      <w:r>
        <w:rPr>
          <w:b/>
        </w:rPr>
        <w:t>T</w:t>
      </w:r>
      <w:r w:rsidR="00C861E7">
        <w:rPr>
          <w:b/>
        </w:rPr>
        <w:t>able B</w:t>
      </w:r>
    </w:p>
    <w:p w14:paraId="5C52BD51" w14:textId="77777777" w:rsidR="00035C0F" w:rsidRPr="00035C0F" w:rsidRDefault="00FF3AA2" w:rsidP="00035C0F">
      <w:pPr>
        <w:pStyle w:val="Heading4"/>
        <w:spacing w:before="240"/>
        <w:rPr>
          <w:rFonts w:eastAsia="Calibri"/>
        </w:rPr>
      </w:pPr>
      <w:r>
        <w:rPr>
          <w:rFonts w:eastAsia="Calibri"/>
        </w:rPr>
        <w:t xml:space="preserve">Other </w:t>
      </w:r>
      <w:r w:rsidR="000741BB">
        <w:rPr>
          <w:rFonts w:eastAsia="Calibri"/>
        </w:rPr>
        <w:t>F</w:t>
      </w:r>
      <w:r w:rsidR="00035C0F">
        <w:rPr>
          <w:rFonts w:eastAsia="Calibri"/>
        </w:rPr>
        <w:t>eedback</w:t>
      </w:r>
    </w:p>
    <w:p w14:paraId="6D35B253" w14:textId="77777777" w:rsidR="00035C0F" w:rsidRDefault="00035C0F" w:rsidP="00DD1B5F">
      <w:pPr>
        <w:spacing w:line="256" w:lineRule="auto"/>
        <w:rPr>
          <w:rFonts w:asciiTheme="minorHAnsi" w:eastAsiaTheme="minorHAnsi" w:hAnsiTheme="minorHAnsi" w:cstheme="minorHAnsi"/>
          <w:color w:val="000000"/>
          <w:szCs w:val="22"/>
        </w:rPr>
      </w:pPr>
      <w:r w:rsidRPr="009163A6">
        <w:rPr>
          <w:rFonts w:asciiTheme="minorHAnsi" w:eastAsiaTheme="minorHAnsi" w:hAnsiTheme="minorHAnsi" w:cstheme="minorHAnsi"/>
          <w:color w:val="000000"/>
          <w:szCs w:val="22"/>
        </w:rPr>
        <w:t xml:space="preserve">Members of the </w:t>
      </w:r>
      <w:r w:rsidR="00FF3AA2">
        <w:rPr>
          <w:rFonts w:asciiTheme="minorHAnsi" w:eastAsiaTheme="minorHAnsi" w:hAnsiTheme="minorHAnsi" w:cstheme="minorHAnsi"/>
          <w:color w:val="000000"/>
          <w:szCs w:val="22"/>
        </w:rPr>
        <w:t>S</w:t>
      </w:r>
      <w:r w:rsidRPr="009163A6">
        <w:rPr>
          <w:rFonts w:asciiTheme="minorHAnsi" w:eastAsiaTheme="minorHAnsi" w:hAnsiTheme="minorHAnsi" w:cstheme="minorHAnsi"/>
          <w:color w:val="000000"/>
          <w:szCs w:val="22"/>
        </w:rPr>
        <w:t xml:space="preserve">UG and </w:t>
      </w:r>
      <w:r w:rsidR="00FF3AA2">
        <w:rPr>
          <w:rFonts w:asciiTheme="minorHAnsi" w:eastAsiaTheme="minorHAnsi" w:hAnsiTheme="minorHAnsi" w:cstheme="minorHAnsi"/>
          <w:color w:val="000000"/>
          <w:szCs w:val="22"/>
        </w:rPr>
        <w:t>P</w:t>
      </w:r>
      <w:r w:rsidRPr="009163A6">
        <w:rPr>
          <w:rFonts w:asciiTheme="minorHAnsi" w:eastAsiaTheme="minorHAnsi" w:hAnsiTheme="minorHAnsi" w:cstheme="minorHAnsi"/>
          <w:color w:val="000000"/>
          <w:szCs w:val="22"/>
        </w:rPr>
        <w:t xml:space="preserve">UG </w:t>
      </w:r>
      <w:r w:rsidR="00FF3AA2">
        <w:rPr>
          <w:rFonts w:asciiTheme="minorHAnsi" w:eastAsiaTheme="minorHAnsi" w:hAnsiTheme="minorHAnsi" w:cstheme="minorHAnsi"/>
          <w:color w:val="000000"/>
          <w:szCs w:val="22"/>
        </w:rPr>
        <w:t>were asked to provide comments</w:t>
      </w:r>
      <w:r w:rsidRPr="009163A6">
        <w:rPr>
          <w:rFonts w:asciiTheme="minorHAnsi" w:eastAsiaTheme="minorHAnsi" w:hAnsiTheme="minorHAnsi" w:cstheme="minorHAnsi"/>
          <w:color w:val="000000"/>
          <w:szCs w:val="22"/>
        </w:rPr>
        <w:t xml:space="preserve"> on the ACNC’s self-assessment against specific KPIs</w:t>
      </w:r>
      <w:r w:rsidR="00820F71">
        <w:rPr>
          <w:rFonts w:asciiTheme="minorHAnsi" w:eastAsiaTheme="minorHAnsi" w:hAnsiTheme="minorHAnsi" w:cstheme="minorHAnsi"/>
          <w:color w:val="000000"/>
          <w:szCs w:val="22"/>
        </w:rPr>
        <w:t>,</w:t>
      </w:r>
      <w:r w:rsidRPr="009163A6">
        <w:rPr>
          <w:rFonts w:asciiTheme="minorHAnsi" w:eastAsiaTheme="minorHAnsi" w:hAnsiTheme="minorHAnsi" w:cstheme="minorHAnsi"/>
          <w:color w:val="000000"/>
          <w:szCs w:val="22"/>
        </w:rPr>
        <w:t xml:space="preserve"> in addition to the ACNC’s overall </w:t>
      </w:r>
      <w:r w:rsidR="00820F71">
        <w:rPr>
          <w:rFonts w:asciiTheme="minorHAnsi" w:eastAsiaTheme="minorHAnsi" w:hAnsiTheme="minorHAnsi" w:cstheme="minorHAnsi"/>
          <w:color w:val="000000"/>
          <w:szCs w:val="22"/>
        </w:rPr>
        <w:t>self-</w:t>
      </w:r>
      <w:r w:rsidRPr="009163A6">
        <w:rPr>
          <w:rFonts w:asciiTheme="minorHAnsi" w:eastAsiaTheme="minorHAnsi" w:hAnsiTheme="minorHAnsi" w:cstheme="minorHAnsi"/>
          <w:color w:val="000000"/>
          <w:szCs w:val="22"/>
        </w:rPr>
        <w:t>assessment.</w:t>
      </w:r>
    </w:p>
    <w:p w14:paraId="40071B8E" w14:textId="77777777" w:rsidR="00454682" w:rsidRDefault="00FF3AA2" w:rsidP="00DD1B5F">
      <w:pPr>
        <w:spacing w:line="256" w:lineRule="auto"/>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The f</w:t>
      </w:r>
      <w:r w:rsidR="00454682">
        <w:rPr>
          <w:rFonts w:asciiTheme="minorHAnsi" w:eastAsiaTheme="minorHAnsi" w:hAnsiTheme="minorHAnsi" w:cstheme="minorHAnsi"/>
          <w:color w:val="000000"/>
          <w:szCs w:val="22"/>
        </w:rPr>
        <w:t>eedback was overwhelmingly positive, with praise given to the ACNC’s communication, staff and overall approach. Two other trends were evident in the feedback provided:</w:t>
      </w:r>
    </w:p>
    <w:p w14:paraId="6BB8E4BC" w14:textId="77777777" w:rsidR="008711F3" w:rsidRDefault="008711F3" w:rsidP="00454682">
      <w:pPr>
        <w:pStyle w:val="ListParagraph"/>
        <w:numPr>
          <w:ilvl w:val="0"/>
          <w:numId w:val="23"/>
        </w:numPr>
        <w:spacing w:before="120"/>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issues with the speed and functionality of the ACNC’</w:t>
      </w:r>
      <w:r w:rsidR="000741BB">
        <w:rPr>
          <w:rFonts w:asciiTheme="minorHAnsi" w:eastAsiaTheme="minorHAnsi" w:hAnsiTheme="minorHAnsi" w:cstheme="minorHAnsi"/>
          <w:color w:val="000000"/>
          <w:szCs w:val="20"/>
        </w:rPr>
        <w:t>s website and Charity Portal</w:t>
      </w:r>
    </w:p>
    <w:p w14:paraId="2F2BEB72" w14:textId="77777777" w:rsidR="00454682" w:rsidRDefault="00454682" w:rsidP="00454682">
      <w:pPr>
        <w:pStyle w:val="ListParagraph"/>
        <w:numPr>
          <w:ilvl w:val="0"/>
          <w:numId w:val="23"/>
        </w:numPr>
        <w:spacing w:before="120"/>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a desire for greater information on compliance work (and outcomes) undertaken by the ACNC</w:t>
      </w:r>
      <w:r w:rsidR="008711F3">
        <w:rPr>
          <w:rFonts w:asciiTheme="minorHAnsi" w:eastAsiaTheme="minorHAnsi" w:hAnsiTheme="minorHAnsi" w:cstheme="minorHAnsi"/>
          <w:color w:val="000000"/>
          <w:szCs w:val="20"/>
        </w:rPr>
        <w:t>.</w:t>
      </w:r>
      <w:r>
        <w:rPr>
          <w:rFonts w:asciiTheme="minorHAnsi" w:eastAsiaTheme="minorHAnsi" w:hAnsiTheme="minorHAnsi" w:cstheme="minorHAnsi"/>
          <w:color w:val="000000"/>
          <w:szCs w:val="20"/>
        </w:rPr>
        <w:t xml:space="preserve"> </w:t>
      </w:r>
    </w:p>
    <w:p w14:paraId="42F444AA" w14:textId="6755A539" w:rsidR="008711F3" w:rsidRDefault="008711F3" w:rsidP="000741BB">
      <w:pPr>
        <w:spacing w:before="120"/>
        <w:rPr>
          <w:rFonts w:asciiTheme="minorHAnsi" w:eastAsiaTheme="minorHAnsi" w:hAnsiTheme="minorHAnsi" w:cstheme="minorHAnsi"/>
          <w:color w:val="000000"/>
          <w:szCs w:val="22"/>
        </w:rPr>
      </w:pPr>
      <w:r>
        <w:lastRenderedPageBreak/>
        <w:t>As noted in paragraph 35, t</w:t>
      </w:r>
      <w:r w:rsidRPr="009D39CA">
        <w:t>he ACNC received funding in the 201</w:t>
      </w:r>
      <w:r>
        <w:t>7</w:t>
      </w:r>
      <w:r w:rsidRPr="009D39CA">
        <w:t xml:space="preserve"> Federal Budget to replace our existing IT systems</w:t>
      </w:r>
      <w:r>
        <w:t xml:space="preserve"> </w:t>
      </w:r>
      <w:r w:rsidRPr="009D39CA">
        <w:t xml:space="preserve">and charities will notice a significant improvement </w:t>
      </w:r>
      <w:r w:rsidR="007E72F3">
        <w:t>after</w:t>
      </w:r>
      <w:r w:rsidRPr="009D39CA">
        <w:t xml:space="preserve"> the ACNC’s </w:t>
      </w:r>
      <w:r w:rsidR="007E72F3">
        <w:t xml:space="preserve">new </w:t>
      </w:r>
      <w:r w:rsidRPr="009D39CA">
        <w:t>website</w:t>
      </w:r>
      <w:r>
        <w:t xml:space="preserve">, </w:t>
      </w:r>
      <w:r w:rsidR="007E72F3">
        <w:t>Charity Register</w:t>
      </w:r>
      <w:r w:rsidR="007E72F3" w:rsidRPr="009D39CA">
        <w:t xml:space="preserve"> </w:t>
      </w:r>
      <w:r w:rsidRPr="009D39CA">
        <w:t>and Charity Portal</w:t>
      </w:r>
      <w:r w:rsidR="007E72F3">
        <w:t xml:space="preserve"> launch in September 2018</w:t>
      </w:r>
      <w:r w:rsidRPr="009D39CA">
        <w:t>.</w:t>
      </w:r>
      <w:r w:rsidR="000741BB">
        <w:t xml:space="preserve"> Additionally, </w:t>
      </w:r>
      <w:hyperlink r:id="rId87" w:history="1">
        <w:r w:rsidR="000741BB">
          <w:rPr>
            <w:rStyle w:val="Hyperlink"/>
          </w:rPr>
          <w:t>o</w:t>
        </w:r>
        <w:r w:rsidR="000741BB" w:rsidRPr="000741BB">
          <w:rPr>
            <w:rStyle w:val="Hyperlink"/>
          </w:rPr>
          <w:t>ur submission</w:t>
        </w:r>
      </w:hyperlink>
      <w:r w:rsidR="000741BB">
        <w:t xml:space="preserve"> into the review of the ACNC legislation included a discussion on the ACNC’s secrecy provisions.</w:t>
      </w:r>
    </w:p>
    <w:p w14:paraId="2FFAF5D7" w14:textId="77777777" w:rsidR="00035C0F" w:rsidRDefault="000741BB" w:rsidP="00DD1B5F">
      <w:pPr>
        <w:spacing w:line="256" w:lineRule="auto"/>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All f</w:t>
      </w:r>
      <w:r w:rsidR="00FF790A" w:rsidRPr="009163A6">
        <w:rPr>
          <w:rFonts w:asciiTheme="minorHAnsi" w:eastAsiaTheme="minorHAnsi" w:hAnsiTheme="minorHAnsi" w:cstheme="minorHAnsi"/>
          <w:color w:val="000000"/>
          <w:szCs w:val="22"/>
        </w:rPr>
        <w:t>eedback provided</w:t>
      </w:r>
      <w:r>
        <w:rPr>
          <w:rFonts w:asciiTheme="minorHAnsi" w:eastAsiaTheme="minorHAnsi" w:hAnsiTheme="minorHAnsi" w:cstheme="minorHAnsi"/>
          <w:color w:val="000000"/>
          <w:szCs w:val="22"/>
        </w:rPr>
        <w:t xml:space="preserve"> by members of PUG and SUG have</w:t>
      </w:r>
      <w:r w:rsidR="007F2C76">
        <w:rPr>
          <w:rFonts w:asciiTheme="minorHAnsi" w:eastAsiaTheme="minorHAnsi" w:hAnsiTheme="minorHAnsi" w:cstheme="minorHAnsi"/>
          <w:color w:val="000000"/>
          <w:szCs w:val="22"/>
        </w:rPr>
        <w:t xml:space="preserve"> been listed in the table below</w:t>
      </w:r>
      <w:r w:rsidR="00820F71">
        <w:rPr>
          <w:rFonts w:asciiTheme="minorHAnsi" w:eastAsiaTheme="minorHAnsi" w:hAnsiTheme="minorHAnsi" w:cstheme="minorHAnsi"/>
          <w:color w:val="000000"/>
          <w:szCs w:val="22"/>
        </w:rPr>
        <w:t xml:space="preserve"> (Table C)</w:t>
      </w:r>
      <w:r w:rsidR="007F2C76">
        <w:rPr>
          <w:rFonts w:asciiTheme="minorHAnsi" w:eastAsiaTheme="minorHAnsi" w:hAnsiTheme="minorHAnsi" w:cstheme="minorHAnsi"/>
          <w:color w:val="000000"/>
          <w:szCs w:val="22"/>
        </w:rPr>
        <w:t>.</w:t>
      </w:r>
    </w:p>
    <w:tbl>
      <w:tblPr>
        <w:tblW w:w="9346" w:type="dxa"/>
        <w:tblCellMar>
          <w:left w:w="0" w:type="dxa"/>
          <w:right w:w="0" w:type="dxa"/>
        </w:tblCellMar>
        <w:tblLook w:val="04A0" w:firstRow="1" w:lastRow="0" w:firstColumn="1" w:lastColumn="0" w:noHBand="0" w:noVBand="1"/>
      </w:tblPr>
      <w:tblGrid>
        <w:gridCol w:w="981"/>
        <w:gridCol w:w="994"/>
        <w:gridCol w:w="7371"/>
      </w:tblGrid>
      <w:tr w:rsidR="00AF05FA" w:rsidRPr="00AF05FA" w14:paraId="410CAF28" w14:textId="77777777" w:rsidTr="00D132B4">
        <w:trPr>
          <w:trHeight w:val="97"/>
        </w:trPr>
        <w:tc>
          <w:tcPr>
            <w:tcW w:w="981" w:type="dxa"/>
            <w:tcBorders>
              <w:top w:val="single" w:sz="8" w:space="0" w:color="FFFFFF"/>
              <w:left w:val="single" w:sz="8" w:space="0" w:color="FFFFFF"/>
              <w:bottom w:val="single" w:sz="24" w:space="0" w:color="FFFFFF"/>
              <w:right w:val="single" w:sz="8" w:space="0" w:color="FFFFFF"/>
            </w:tcBorders>
            <w:shd w:val="clear" w:color="auto" w:fill="2BAD29"/>
            <w:tcMar>
              <w:top w:w="15" w:type="dxa"/>
              <w:left w:w="20" w:type="dxa"/>
              <w:bottom w:w="0" w:type="dxa"/>
              <w:right w:w="20" w:type="dxa"/>
            </w:tcMar>
            <w:hideMark/>
          </w:tcPr>
          <w:p w14:paraId="49B608E7" w14:textId="77777777" w:rsidR="00AF05FA" w:rsidRPr="00AF05FA" w:rsidRDefault="00AF05FA" w:rsidP="00D81778">
            <w:pPr>
              <w:spacing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Indicator</w:t>
            </w:r>
          </w:p>
        </w:tc>
        <w:tc>
          <w:tcPr>
            <w:tcW w:w="994" w:type="dxa"/>
            <w:tcBorders>
              <w:top w:val="single" w:sz="8" w:space="0" w:color="FFFFFF"/>
              <w:left w:val="single" w:sz="8" w:space="0" w:color="FFFFFF"/>
              <w:bottom w:val="single" w:sz="24" w:space="0" w:color="FFFFFF"/>
              <w:right w:val="single" w:sz="8" w:space="0" w:color="FFFFFF"/>
            </w:tcBorders>
            <w:shd w:val="clear" w:color="auto" w:fill="2BAD29"/>
            <w:tcMar>
              <w:top w:w="15" w:type="dxa"/>
              <w:left w:w="20" w:type="dxa"/>
              <w:bottom w:w="0" w:type="dxa"/>
              <w:right w:w="20" w:type="dxa"/>
            </w:tcMar>
            <w:hideMark/>
          </w:tcPr>
          <w:p w14:paraId="678070EA" w14:textId="77777777" w:rsidR="00AF05FA" w:rsidRPr="00AF05FA" w:rsidRDefault="00AF05FA" w:rsidP="00D81778">
            <w:pPr>
              <w:spacing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Relevant User Group</w:t>
            </w:r>
          </w:p>
        </w:tc>
        <w:tc>
          <w:tcPr>
            <w:tcW w:w="7371" w:type="dxa"/>
            <w:tcBorders>
              <w:top w:val="single" w:sz="8" w:space="0" w:color="FFFFFF"/>
              <w:left w:val="single" w:sz="8" w:space="0" w:color="FFFFFF"/>
              <w:bottom w:val="single" w:sz="24" w:space="0" w:color="FFFFFF"/>
              <w:right w:val="single" w:sz="8" w:space="0" w:color="FFFFFF"/>
            </w:tcBorders>
            <w:shd w:val="clear" w:color="auto" w:fill="2BAD29"/>
            <w:tcMar>
              <w:top w:w="15" w:type="dxa"/>
              <w:left w:w="20" w:type="dxa"/>
              <w:bottom w:w="0" w:type="dxa"/>
              <w:right w:w="20" w:type="dxa"/>
            </w:tcMar>
            <w:hideMark/>
          </w:tcPr>
          <w:p w14:paraId="4578A988" w14:textId="77777777" w:rsidR="00AF05FA" w:rsidRPr="00AF05FA" w:rsidRDefault="00AF05FA" w:rsidP="00D81778">
            <w:pPr>
              <w:spacing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Feedback</w:t>
            </w:r>
          </w:p>
        </w:tc>
      </w:tr>
      <w:tr w:rsidR="00AF05FA" w:rsidRPr="00AF05FA" w14:paraId="251C2F46" w14:textId="77777777" w:rsidTr="00D132B4">
        <w:trPr>
          <w:trHeight w:val="792"/>
        </w:trPr>
        <w:tc>
          <w:tcPr>
            <w:tcW w:w="981" w:type="dxa"/>
            <w:vMerge w:val="restart"/>
            <w:tcBorders>
              <w:top w:val="single" w:sz="24"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1EA868D3"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KPI 1</w:t>
            </w:r>
          </w:p>
        </w:tc>
        <w:tc>
          <w:tcPr>
            <w:tcW w:w="994" w:type="dxa"/>
            <w:tcBorders>
              <w:top w:val="single" w:sz="24"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3DCA3195"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24"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10DCED2F"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We welcome the planned introduction of the IT upgrade and new website, as the limitations of the current website have impeded the efficient use of the data held by the ACNC.</w:t>
            </w:r>
          </w:p>
          <w:p w14:paraId="0683E591"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Reporting required by the ACNC is appropriate. Work on red tape reduction continues</w:t>
            </w:r>
            <w:r w:rsidR="00D43A29">
              <w:rPr>
                <w:rFonts w:eastAsia="Calibri"/>
                <w:b w:val="0"/>
                <w:i w:val="0"/>
                <w:color w:val="auto"/>
              </w:rPr>
              <w:t>.</w:t>
            </w:r>
          </w:p>
          <w:p w14:paraId="0D0A95B7"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ACNC performance is well above my experience with other regulators nationally and above my experience with the regulator in WA.</w:t>
            </w:r>
          </w:p>
          <w:p w14:paraId="6A1E3D22" w14:textId="77777777" w:rsidR="00AF05FA" w:rsidRPr="00AF05FA" w:rsidRDefault="00AF05FA" w:rsidP="00D132B4">
            <w:pPr>
              <w:pStyle w:val="Heading4"/>
              <w:numPr>
                <w:ilvl w:val="0"/>
                <w:numId w:val="30"/>
              </w:numPr>
              <w:spacing w:before="60"/>
              <w:jc w:val="left"/>
              <w:rPr>
                <w:rFonts w:asciiTheme="minorHAnsi" w:eastAsiaTheme="minorHAnsi" w:hAnsiTheme="minorHAnsi" w:cstheme="minorHAnsi"/>
                <w:color w:val="000000"/>
              </w:rPr>
            </w:pPr>
            <w:r w:rsidRPr="00D37705">
              <w:rPr>
                <w:rFonts w:eastAsia="Calibri"/>
                <w:b w:val="0"/>
                <w:i w:val="0"/>
                <w:color w:val="auto"/>
              </w:rPr>
              <w:t>ACNC has taken a proactive approach in fulfilling its mandate to the sector in 2017 2018.</w:t>
            </w:r>
          </w:p>
        </w:tc>
      </w:tr>
      <w:tr w:rsidR="00AF05FA" w:rsidRPr="00AF05FA" w14:paraId="4238AF98" w14:textId="77777777" w:rsidTr="00D132B4">
        <w:trPr>
          <w:trHeight w:val="97"/>
        </w:trPr>
        <w:tc>
          <w:tcPr>
            <w:tcW w:w="981" w:type="dxa"/>
            <w:vMerge/>
            <w:tcBorders>
              <w:top w:val="single" w:sz="24" w:space="0" w:color="FFFFFF"/>
              <w:left w:val="single" w:sz="8" w:space="0" w:color="FFFFFF"/>
              <w:bottom w:val="single" w:sz="8" w:space="0" w:color="FFFFFF"/>
              <w:right w:val="single" w:sz="8" w:space="0" w:color="FFFFFF"/>
            </w:tcBorders>
            <w:vAlign w:val="center"/>
            <w:hideMark/>
          </w:tcPr>
          <w:p w14:paraId="454E55D0" w14:textId="77777777" w:rsidR="00AF05FA" w:rsidRPr="00AF05FA" w:rsidRDefault="00AF05FA" w:rsidP="00882636">
            <w:pPr>
              <w:spacing w:before="60" w:after="60"/>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693EEE0B"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2E3F01E6" w14:textId="77777777" w:rsidR="00AF05FA" w:rsidRPr="00AF05FA" w:rsidRDefault="00AF05FA" w:rsidP="00D132B4">
            <w:pPr>
              <w:pStyle w:val="Heading4"/>
              <w:numPr>
                <w:ilvl w:val="0"/>
                <w:numId w:val="30"/>
              </w:numPr>
              <w:spacing w:before="60"/>
              <w:jc w:val="left"/>
              <w:rPr>
                <w:rFonts w:asciiTheme="minorHAnsi" w:eastAsiaTheme="minorHAnsi" w:hAnsiTheme="minorHAnsi" w:cstheme="minorHAnsi"/>
                <w:color w:val="000000"/>
              </w:rPr>
            </w:pPr>
            <w:r w:rsidRPr="00D37705">
              <w:rPr>
                <w:rFonts w:eastAsia="Calibri"/>
                <w:b w:val="0"/>
                <w:i w:val="0"/>
                <w:color w:val="auto"/>
              </w:rPr>
              <w:t>The review of the act did seem to extend the role of the regulator.</w:t>
            </w:r>
          </w:p>
        </w:tc>
      </w:tr>
      <w:tr w:rsidR="00AF05FA" w:rsidRPr="00AF05FA" w14:paraId="56E27589" w14:textId="77777777" w:rsidTr="00D132B4">
        <w:trPr>
          <w:trHeight w:val="1422"/>
        </w:trPr>
        <w:tc>
          <w:tcPr>
            <w:tcW w:w="981"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13B5284C"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KPI 2</w:t>
            </w:r>
          </w:p>
        </w:tc>
        <w:tc>
          <w:tcPr>
            <w:tcW w:w="994"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27D7A96D"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178B8ED2"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Communication from the ACNC is invariably clear and focussed.</w:t>
            </w:r>
          </w:p>
          <w:p w14:paraId="5FF2C80F"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 xml:space="preserve">Our staff, and the charities that we assist, find the guidance and information that the ACNC provides to be very clear and helpful. However, we note that the amount of resources published in the reporting period has decreased and we encourage the ACNC to continue to produce education and information resources, given the clarity and certainty that these provide to the charity sector and practitioners.     We welcomed the publication of the 2016 Australian Charities Report in December 2017. The data in the Australian Charities Report has been of great assistance in helping charities and the Australian community to understand the make-up and contribution of the charitable sector and we encourage the ACNC to reconsider its decision to not publish this report in future years. We look forward to the further upgrade of the ACNC IT system which we anticipate will lead to more efficient and effective use of the ACNC’s web-based resources and data.  </w:t>
            </w:r>
          </w:p>
          <w:p w14:paraId="7FF1C302"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 xml:space="preserve">Very good direct contact by key staff. </w:t>
            </w:r>
          </w:p>
          <w:p w14:paraId="78D32294" w14:textId="77777777" w:rsidR="00AF05FA" w:rsidRPr="00AF05FA" w:rsidRDefault="00AF05FA" w:rsidP="00D132B4">
            <w:pPr>
              <w:pStyle w:val="Heading4"/>
              <w:numPr>
                <w:ilvl w:val="0"/>
                <w:numId w:val="30"/>
              </w:numPr>
              <w:spacing w:before="60"/>
              <w:jc w:val="left"/>
              <w:rPr>
                <w:rFonts w:asciiTheme="minorHAnsi" w:eastAsiaTheme="minorHAnsi" w:hAnsiTheme="minorHAnsi" w:cstheme="minorHAnsi"/>
                <w:color w:val="000000"/>
              </w:rPr>
            </w:pPr>
            <w:r w:rsidRPr="00D37705">
              <w:rPr>
                <w:rFonts w:eastAsia="Calibri"/>
                <w:b w:val="0"/>
                <w:i w:val="0"/>
                <w:color w:val="auto"/>
              </w:rPr>
              <w:t>ACNC's level of communication and style of communication is excellent.</w:t>
            </w:r>
          </w:p>
        </w:tc>
      </w:tr>
      <w:tr w:rsidR="00AF05FA" w:rsidRPr="00AF05FA" w14:paraId="13B77399" w14:textId="77777777" w:rsidTr="00D132B4">
        <w:trPr>
          <w:trHeight w:val="48"/>
        </w:trPr>
        <w:tc>
          <w:tcPr>
            <w:tcW w:w="981" w:type="dxa"/>
            <w:vMerge/>
            <w:tcBorders>
              <w:top w:val="single" w:sz="8" w:space="0" w:color="FFFFFF"/>
              <w:left w:val="single" w:sz="8" w:space="0" w:color="FFFFFF"/>
              <w:bottom w:val="single" w:sz="8" w:space="0" w:color="FFFFFF"/>
              <w:right w:val="single" w:sz="8" w:space="0" w:color="FFFFFF"/>
            </w:tcBorders>
            <w:vAlign w:val="center"/>
            <w:hideMark/>
          </w:tcPr>
          <w:p w14:paraId="48C3E6A8" w14:textId="77777777" w:rsidR="00AF05FA" w:rsidRPr="00AF05FA" w:rsidRDefault="00AF05FA" w:rsidP="00882636">
            <w:pPr>
              <w:spacing w:before="60" w:after="60"/>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1E74855D"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772CFB73" w14:textId="77777777" w:rsidR="00AF05FA" w:rsidRPr="00AF05FA" w:rsidRDefault="00882636" w:rsidP="00D132B4">
            <w:pPr>
              <w:spacing w:before="60" w:after="60" w:line="256" w:lineRule="auto"/>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  </w:t>
            </w:r>
            <w:r w:rsidR="00AF05FA" w:rsidRPr="00AF05FA">
              <w:rPr>
                <w:rFonts w:asciiTheme="minorHAnsi" w:eastAsiaTheme="minorHAnsi" w:hAnsiTheme="minorHAnsi" w:cstheme="minorHAnsi"/>
                <w:color w:val="000000"/>
                <w:szCs w:val="22"/>
              </w:rPr>
              <w:t>No feedback received</w:t>
            </w:r>
            <w:r>
              <w:rPr>
                <w:rFonts w:asciiTheme="minorHAnsi" w:eastAsiaTheme="minorHAnsi" w:hAnsiTheme="minorHAnsi" w:cstheme="minorHAnsi"/>
                <w:color w:val="000000"/>
                <w:szCs w:val="22"/>
              </w:rPr>
              <w:t>.</w:t>
            </w:r>
          </w:p>
        </w:tc>
      </w:tr>
      <w:tr w:rsidR="00AF05FA" w:rsidRPr="00AF05FA" w14:paraId="3215C402" w14:textId="77777777" w:rsidTr="00D132B4">
        <w:trPr>
          <w:trHeight w:val="409"/>
        </w:trPr>
        <w:tc>
          <w:tcPr>
            <w:tcW w:w="981"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7FDA8221"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KPI 3</w:t>
            </w:r>
          </w:p>
        </w:tc>
        <w:tc>
          <w:tcPr>
            <w:tcW w:w="994"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7CBF2C1D"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4D0C45C0"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My observation &amp; anecdotal evidence agrees but the secrecy provisions imbedded in the Act impede fuller analysis of this KPI.</w:t>
            </w:r>
          </w:p>
          <w:p w14:paraId="6ADCC245"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The only area where I thought the focus may have been disproportionate was in relation to the FATF Austrac work - having regards to other areas of risk.</w:t>
            </w:r>
          </w:p>
        </w:tc>
      </w:tr>
      <w:tr w:rsidR="00AF05FA" w:rsidRPr="00AF05FA" w14:paraId="7FDAA31F" w14:textId="77777777" w:rsidTr="00D132B4">
        <w:trPr>
          <w:trHeight w:val="194"/>
        </w:trPr>
        <w:tc>
          <w:tcPr>
            <w:tcW w:w="981" w:type="dxa"/>
            <w:vMerge/>
            <w:tcBorders>
              <w:top w:val="single" w:sz="8" w:space="0" w:color="FFFFFF"/>
              <w:left w:val="single" w:sz="8" w:space="0" w:color="FFFFFF"/>
              <w:bottom w:val="single" w:sz="8" w:space="0" w:color="FFFFFF"/>
              <w:right w:val="single" w:sz="8" w:space="0" w:color="FFFFFF"/>
            </w:tcBorders>
            <w:vAlign w:val="center"/>
            <w:hideMark/>
          </w:tcPr>
          <w:p w14:paraId="080D4CC8" w14:textId="77777777" w:rsidR="00AF05FA" w:rsidRPr="00AF05FA" w:rsidRDefault="00AF05FA" w:rsidP="00882636">
            <w:pPr>
              <w:spacing w:before="60" w:after="60"/>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01475626"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28C099D7"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Decisive and well publicised action where serious breaches are identified is should not be shied away from in to maintain integrity of the Register.</w:t>
            </w:r>
          </w:p>
        </w:tc>
      </w:tr>
      <w:tr w:rsidR="00AF05FA" w:rsidRPr="00AF05FA" w14:paraId="7E637584" w14:textId="77777777" w:rsidTr="00D132B4">
        <w:trPr>
          <w:trHeight w:val="916"/>
        </w:trPr>
        <w:tc>
          <w:tcPr>
            <w:tcW w:w="981"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01B0D5B0"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lastRenderedPageBreak/>
              <w:t>KPI 4</w:t>
            </w:r>
          </w:p>
        </w:tc>
        <w:tc>
          <w:tcPr>
            <w:tcW w:w="994"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78026EB7"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105E6204"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 xml:space="preserve">We commend the ACNC on the publishing of another very useful Charity Compliance Report in March 2018, which will be helpful for charities to understand the ACNC’s compliance and enforcement activities, and to assist the broader community to understand the role of the ACNC and the actions taken where concerns are raised by the public or identified by the ACNC.    </w:t>
            </w:r>
          </w:p>
          <w:p w14:paraId="0FE2DD7E"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Would like to see some quicker action on financial reporting requirements.</w:t>
            </w:r>
          </w:p>
          <w:p w14:paraId="0D57DA6E"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My one comment here is that having been involved with 2 ACNC investigations of charities, I think there is timeliness aspect that can be improved or at least feedback given. Client does not really know where they stand after a 10 month long investigation.</w:t>
            </w:r>
          </w:p>
        </w:tc>
      </w:tr>
      <w:tr w:rsidR="00AF05FA" w:rsidRPr="00AF05FA" w14:paraId="7E9935CE" w14:textId="77777777" w:rsidTr="00D132B4">
        <w:trPr>
          <w:trHeight w:val="97"/>
        </w:trPr>
        <w:tc>
          <w:tcPr>
            <w:tcW w:w="981" w:type="dxa"/>
            <w:vMerge/>
            <w:tcBorders>
              <w:top w:val="single" w:sz="8" w:space="0" w:color="FFFFFF"/>
              <w:left w:val="single" w:sz="8" w:space="0" w:color="FFFFFF"/>
              <w:bottom w:val="single" w:sz="8" w:space="0" w:color="FFFFFF"/>
              <w:right w:val="single" w:sz="8" w:space="0" w:color="FFFFFF"/>
            </w:tcBorders>
            <w:vAlign w:val="center"/>
            <w:hideMark/>
          </w:tcPr>
          <w:p w14:paraId="48A034B3" w14:textId="77777777" w:rsidR="00AF05FA" w:rsidRPr="00AF05FA" w:rsidRDefault="00AF05FA" w:rsidP="00882636">
            <w:pPr>
              <w:spacing w:before="60" w:after="60"/>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451298A9"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757758DE"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Website upgrade will hopefully address ease of use.</w:t>
            </w:r>
          </w:p>
        </w:tc>
      </w:tr>
      <w:tr w:rsidR="00AF05FA" w:rsidRPr="00AF05FA" w14:paraId="1102F595" w14:textId="77777777" w:rsidTr="00D132B4">
        <w:trPr>
          <w:trHeight w:val="696"/>
        </w:trPr>
        <w:tc>
          <w:tcPr>
            <w:tcW w:w="981"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56B21519"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KPI 5</w:t>
            </w:r>
          </w:p>
        </w:tc>
        <w:tc>
          <w:tcPr>
            <w:tcW w:w="994"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08E04444"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1EA79290"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A strength of the ACNC is its focus on customer service and timely, respectful engagement with charities, at every level of seniority within the ACNC. We encourage the ACNC to continue its focus on staff being accessible and responsive, a feature of the ACNC that has distinguished it from other regulators.</w:t>
            </w:r>
          </w:p>
          <w:p w14:paraId="1DAE5816"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Ref comments on KPI 3.</w:t>
            </w:r>
          </w:p>
          <w:p w14:paraId="4475F931"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Would like ACNC to have powers to be more informative in relation to investigations.</w:t>
            </w:r>
          </w:p>
          <w:p w14:paraId="7CE5A54A"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I consider the</w:t>
            </w:r>
            <w:r w:rsidR="00606DB4">
              <w:rPr>
                <w:rFonts w:eastAsia="Calibri"/>
                <w:b w:val="0"/>
                <w:i w:val="0"/>
                <w:color w:val="auto"/>
              </w:rPr>
              <w:t>re [</w:t>
            </w:r>
            <w:r w:rsidR="00606DB4" w:rsidRPr="00606DB4">
              <w:rPr>
                <w:rFonts w:eastAsia="Calibri"/>
                <w:b w:val="0"/>
                <w:color w:val="auto"/>
              </w:rPr>
              <w:t>sic</w:t>
            </w:r>
            <w:r w:rsidR="00606DB4">
              <w:rPr>
                <w:rFonts w:eastAsia="Calibri"/>
                <w:b w:val="0"/>
                <w:i w:val="0"/>
                <w:color w:val="auto"/>
              </w:rPr>
              <w:t>]</w:t>
            </w:r>
            <w:r w:rsidRPr="00D37705">
              <w:rPr>
                <w:rFonts w:eastAsia="Calibri"/>
                <w:b w:val="0"/>
                <w:i w:val="0"/>
                <w:color w:val="auto"/>
              </w:rPr>
              <w:t xml:space="preserve"> operations are exceptional.</w:t>
            </w:r>
          </w:p>
        </w:tc>
      </w:tr>
      <w:tr w:rsidR="00AF05FA" w:rsidRPr="00AF05FA" w14:paraId="749EF697" w14:textId="77777777" w:rsidTr="00D132B4">
        <w:trPr>
          <w:trHeight w:val="97"/>
        </w:trPr>
        <w:tc>
          <w:tcPr>
            <w:tcW w:w="981" w:type="dxa"/>
            <w:vMerge/>
            <w:tcBorders>
              <w:top w:val="single" w:sz="8" w:space="0" w:color="FFFFFF"/>
              <w:left w:val="single" w:sz="8" w:space="0" w:color="FFFFFF"/>
              <w:bottom w:val="single" w:sz="8" w:space="0" w:color="FFFFFF"/>
              <w:right w:val="single" w:sz="8" w:space="0" w:color="FFFFFF"/>
            </w:tcBorders>
            <w:vAlign w:val="center"/>
            <w:hideMark/>
          </w:tcPr>
          <w:p w14:paraId="3994059C" w14:textId="77777777" w:rsidR="00AF05FA" w:rsidRPr="00AF05FA" w:rsidRDefault="00AF05FA" w:rsidP="00882636">
            <w:pPr>
              <w:spacing w:before="60" w:after="60"/>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7EA7F926"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0D0E31F3"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More transparency about issues raised through complaints is desirable.</w:t>
            </w:r>
          </w:p>
        </w:tc>
      </w:tr>
      <w:tr w:rsidR="00AF05FA" w:rsidRPr="00AF05FA" w14:paraId="2E6A8991" w14:textId="77777777" w:rsidTr="00D132B4">
        <w:trPr>
          <w:trHeight w:val="97"/>
        </w:trPr>
        <w:tc>
          <w:tcPr>
            <w:tcW w:w="981"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1166EB5B"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KPI 6</w:t>
            </w:r>
          </w:p>
        </w:tc>
        <w:tc>
          <w:tcPr>
            <w:tcW w:w="994"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345FB623"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56DB1968"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I thought the ACNC was very active and engaging in relation to the review of its Act.</w:t>
            </w:r>
          </w:p>
        </w:tc>
      </w:tr>
      <w:tr w:rsidR="00AF05FA" w:rsidRPr="00AF05FA" w14:paraId="617E13DC" w14:textId="77777777" w:rsidTr="00D132B4">
        <w:trPr>
          <w:trHeight w:val="48"/>
        </w:trPr>
        <w:tc>
          <w:tcPr>
            <w:tcW w:w="981" w:type="dxa"/>
            <w:vMerge/>
            <w:tcBorders>
              <w:top w:val="single" w:sz="8" w:space="0" w:color="FFFFFF"/>
              <w:left w:val="single" w:sz="8" w:space="0" w:color="FFFFFF"/>
              <w:bottom w:val="single" w:sz="8" w:space="0" w:color="FFFFFF"/>
              <w:right w:val="single" w:sz="8" w:space="0" w:color="FFFFFF"/>
            </w:tcBorders>
            <w:vAlign w:val="center"/>
            <w:hideMark/>
          </w:tcPr>
          <w:p w14:paraId="482C50E6" w14:textId="77777777" w:rsidR="00AF05FA" w:rsidRPr="00AF05FA" w:rsidRDefault="00AF05FA" w:rsidP="00882636">
            <w:pPr>
              <w:spacing w:before="60" w:after="60"/>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67285D7F" w14:textId="77777777" w:rsidR="00AF05FA" w:rsidRPr="00AF05FA" w:rsidRDefault="00AF05FA" w:rsidP="009E4556">
            <w:pPr>
              <w:pStyle w:val="Heading4"/>
              <w:spacing w:before="60"/>
              <w:jc w:val="center"/>
              <w:rPr>
                <w:rFonts w:asciiTheme="minorHAnsi" w:eastAsiaTheme="minorHAnsi" w:hAnsiTheme="minorHAnsi" w:cstheme="minorHAnsi"/>
                <w:color w:val="000000"/>
              </w:rPr>
            </w:pPr>
            <w:r w:rsidRPr="009E4556">
              <w:rPr>
                <w:rFonts w:eastAsia="Calibri"/>
                <w:b w:val="0"/>
                <w:i w:val="0"/>
                <w:color w:val="auto"/>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1297B817" w14:textId="77777777" w:rsidR="00AF05FA" w:rsidRPr="00D37705" w:rsidRDefault="00882636" w:rsidP="00D132B4">
            <w:pPr>
              <w:pStyle w:val="Heading4"/>
              <w:spacing w:before="60"/>
              <w:jc w:val="left"/>
              <w:rPr>
                <w:rFonts w:eastAsia="Calibri"/>
                <w:b w:val="0"/>
                <w:i w:val="0"/>
                <w:color w:val="auto"/>
              </w:rPr>
            </w:pPr>
            <w:r>
              <w:rPr>
                <w:rFonts w:eastAsia="Calibri"/>
                <w:b w:val="0"/>
                <w:i w:val="0"/>
                <w:color w:val="auto"/>
              </w:rPr>
              <w:t xml:space="preserve">  </w:t>
            </w:r>
            <w:r w:rsidR="00AF05FA" w:rsidRPr="00D37705">
              <w:rPr>
                <w:rFonts w:eastAsia="Calibri"/>
                <w:b w:val="0"/>
                <w:i w:val="0"/>
                <w:color w:val="auto"/>
              </w:rPr>
              <w:t>No feedback received.</w:t>
            </w:r>
          </w:p>
        </w:tc>
      </w:tr>
      <w:tr w:rsidR="00AF05FA" w:rsidRPr="00AF05FA" w14:paraId="113007F2" w14:textId="77777777" w:rsidTr="00D132B4">
        <w:trPr>
          <w:trHeight w:val="1250"/>
        </w:trPr>
        <w:tc>
          <w:tcPr>
            <w:tcW w:w="981" w:type="dxa"/>
            <w:vMerge w:val="restart"/>
            <w:tcBorders>
              <w:top w:val="single" w:sz="8" w:space="0" w:color="FFFFFF"/>
              <w:left w:val="single" w:sz="8" w:space="0" w:color="FFFFFF"/>
              <w:bottom w:val="single" w:sz="8" w:space="0" w:color="FFFFFF"/>
              <w:right w:val="single" w:sz="8" w:space="0" w:color="FFFFFF"/>
            </w:tcBorders>
            <w:shd w:val="clear" w:color="auto" w:fill="2BAD29"/>
            <w:tcMar>
              <w:top w:w="15" w:type="dxa"/>
              <w:left w:w="20" w:type="dxa"/>
              <w:bottom w:w="0" w:type="dxa"/>
              <w:right w:w="20" w:type="dxa"/>
            </w:tcMar>
            <w:hideMark/>
          </w:tcPr>
          <w:p w14:paraId="3CCCC008" w14:textId="77777777" w:rsidR="00AF05FA" w:rsidRPr="00AF05FA" w:rsidRDefault="00AF05FA" w:rsidP="00882636">
            <w:pPr>
              <w:spacing w:before="60" w:after="60"/>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b/>
                <w:bCs/>
                <w:color w:val="000000"/>
                <w:szCs w:val="22"/>
              </w:rPr>
              <w:t>Overall rating</w:t>
            </w:r>
          </w:p>
        </w:tc>
        <w:tc>
          <w:tcPr>
            <w:tcW w:w="994"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15EFB5F8"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PUG</w:t>
            </w:r>
          </w:p>
        </w:tc>
        <w:tc>
          <w:tcPr>
            <w:tcW w:w="7371" w:type="dxa"/>
            <w:tcBorders>
              <w:top w:val="single" w:sz="8" w:space="0" w:color="FFFFFF"/>
              <w:left w:val="single" w:sz="8" w:space="0" w:color="FFFFFF"/>
              <w:bottom w:val="single" w:sz="8" w:space="0" w:color="FFFFFF"/>
              <w:right w:val="single" w:sz="8" w:space="0" w:color="FFFFFF"/>
            </w:tcBorders>
            <w:shd w:val="clear" w:color="auto" w:fill="CDE3CD"/>
            <w:tcMar>
              <w:top w:w="15" w:type="dxa"/>
              <w:left w:w="20" w:type="dxa"/>
              <w:bottom w:w="0" w:type="dxa"/>
              <w:right w:w="20" w:type="dxa"/>
            </w:tcMar>
            <w:hideMark/>
          </w:tcPr>
          <w:p w14:paraId="2824B460"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The ACNC understands the charity sector. Its communication is good and clear. Whilst there was considerable red tape in the early days in the setting up of charities on the register, things are running smoothly now.</w:t>
            </w:r>
          </w:p>
          <w:p w14:paraId="23289314"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 xml:space="preserve">The ACNC regulates and supports the sector unlike any other regulator I have dealt with in Australia. They are easy to work with and apply commonsense to situations. The staff we deal with are knowledgeable and helpful. </w:t>
            </w:r>
          </w:p>
          <w:p w14:paraId="669F35B0"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I think it is very good.</w:t>
            </w:r>
          </w:p>
          <w:p w14:paraId="04DB8F76"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The portal system is incredibly slow. It is a significant source of frustration - but I understand that this is in the process of a major upgrade.</w:t>
            </w:r>
          </w:p>
          <w:p w14:paraId="761B5245"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The ACNC has a past record of having achieved a good balance - taking into account charities were navigating new regulatory requirements - and as a result it has earned the trust and respect of many in the sector. It is hoped this approach will continue.</w:t>
            </w:r>
          </w:p>
        </w:tc>
      </w:tr>
      <w:tr w:rsidR="00AF05FA" w:rsidRPr="00AF05FA" w14:paraId="6EAE5C13" w14:textId="77777777" w:rsidTr="00D132B4">
        <w:trPr>
          <w:trHeight w:val="867"/>
        </w:trPr>
        <w:tc>
          <w:tcPr>
            <w:tcW w:w="981" w:type="dxa"/>
            <w:vMerge/>
            <w:tcBorders>
              <w:top w:val="single" w:sz="8" w:space="0" w:color="FFFFFF"/>
              <w:left w:val="single" w:sz="8" w:space="0" w:color="FFFFFF"/>
              <w:bottom w:val="single" w:sz="8" w:space="0" w:color="FFFFFF"/>
              <w:right w:val="single" w:sz="8" w:space="0" w:color="FFFFFF"/>
            </w:tcBorders>
            <w:vAlign w:val="center"/>
            <w:hideMark/>
          </w:tcPr>
          <w:p w14:paraId="7AAD9186" w14:textId="77777777" w:rsidR="00AF05FA" w:rsidRPr="00AF05FA" w:rsidRDefault="00AF05FA" w:rsidP="00D81778">
            <w:pPr>
              <w:spacing w:line="256" w:lineRule="auto"/>
              <w:jc w:val="center"/>
              <w:rPr>
                <w:rFonts w:asciiTheme="minorHAnsi" w:eastAsiaTheme="minorHAnsi" w:hAnsiTheme="minorHAnsi" w:cstheme="minorHAnsi"/>
                <w:color w:val="000000"/>
                <w:szCs w:val="22"/>
              </w:rPr>
            </w:pPr>
          </w:p>
        </w:tc>
        <w:tc>
          <w:tcPr>
            <w:tcW w:w="994"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6FB4ADE0" w14:textId="77777777" w:rsidR="00AF05FA" w:rsidRPr="00AF05FA" w:rsidRDefault="00AF05FA" w:rsidP="009E4556">
            <w:pPr>
              <w:spacing w:before="60" w:after="60" w:line="256" w:lineRule="auto"/>
              <w:jc w:val="center"/>
              <w:rPr>
                <w:rFonts w:asciiTheme="minorHAnsi" w:eastAsiaTheme="minorHAnsi" w:hAnsiTheme="minorHAnsi" w:cstheme="minorHAnsi"/>
                <w:color w:val="000000"/>
                <w:szCs w:val="22"/>
              </w:rPr>
            </w:pPr>
            <w:r w:rsidRPr="00AF05FA">
              <w:rPr>
                <w:rFonts w:asciiTheme="minorHAnsi" w:eastAsiaTheme="minorHAnsi" w:hAnsiTheme="minorHAnsi" w:cstheme="minorHAnsi"/>
                <w:color w:val="000000"/>
                <w:szCs w:val="22"/>
              </w:rPr>
              <w:t>SUG</w:t>
            </w:r>
          </w:p>
        </w:tc>
        <w:tc>
          <w:tcPr>
            <w:tcW w:w="7371" w:type="dxa"/>
            <w:tcBorders>
              <w:top w:val="single" w:sz="8" w:space="0" w:color="FFFFFF"/>
              <w:left w:val="single" w:sz="8" w:space="0" w:color="FFFFFF"/>
              <w:bottom w:val="single" w:sz="8" w:space="0" w:color="FFFFFF"/>
              <w:right w:val="single" w:sz="8" w:space="0" w:color="FFFFFF"/>
            </w:tcBorders>
            <w:shd w:val="clear" w:color="auto" w:fill="E8F1E8"/>
            <w:tcMar>
              <w:top w:w="15" w:type="dxa"/>
              <w:left w:w="20" w:type="dxa"/>
              <w:bottom w:w="0" w:type="dxa"/>
              <w:right w:w="20" w:type="dxa"/>
            </w:tcMar>
            <w:hideMark/>
          </w:tcPr>
          <w:p w14:paraId="017F4F4F"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The ACNC has built a reputation and credibility in the sector and is to be congratulated.</w:t>
            </w:r>
          </w:p>
          <w:p w14:paraId="0C123097"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The user group system is extremely valuable to me and all the boards that I am involved with.  As a user I do agree the website needs improvement. However, the reports on the whole sector provided each year are invaluable. If there is one thing you could do is to educate people involved with Charities on the number of DGRs. They think it is over 600,000 and don’t understand the number of religious and school charities.</w:t>
            </w:r>
          </w:p>
          <w:p w14:paraId="30DECEC0" w14:textId="77777777" w:rsidR="00AF05FA" w:rsidRPr="00D37705" w:rsidRDefault="00AF05FA" w:rsidP="00D132B4">
            <w:pPr>
              <w:pStyle w:val="Heading4"/>
              <w:numPr>
                <w:ilvl w:val="0"/>
                <w:numId w:val="30"/>
              </w:numPr>
              <w:spacing w:before="60"/>
              <w:jc w:val="left"/>
              <w:rPr>
                <w:rFonts w:eastAsia="Calibri"/>
                <w:b w:val="0"/>
                <w:i w:val="0"/>
                <w:color w:val="auto"/>
              </w:rPr>
            </w:pPr>
            <w:r w:rsidRPr="00D37705">
              <w:rPr>
                <w:rFonts w:eastAsia="Calibri"/>
                <w:b w:val="0"/>
                <w:i w:val="0"/>
                <w:color w:val="auto"/>
              </w:rPr>
              <w:t>ACNC performance justifying the high expectations the sector had in a dedicated for purpose sector regulator.</w:t>
            </w:r>
          </w:p>
        </w:tc>
      </w:tr>
    </w:tbl>
    <w:p w14:paraId="320F2F90" w14:textId="77777777" w:rsidR="00AF05FA" w:rsidRPr="00820F71" w:rsidRDefault="00820F71" w:rsidP="00D132B4">
      <w:pPr>
        <w:pStyle w:val="Body"/>
        <w:jc w:val="center"/>
        <w:rPr>
          <w:b/>
        </w:rPr>
      </w:pPr>
      <w:r w:rsidRPr="00820F71">
        <w:rPr>
          <w:b/>
        </w:rPr>
        <w:t>T</w:t>
      </w:r>
      <w:r>
        <w:rPr>
          <w:b/>
        </w:rPr>
        <w:t>able C</w:t>
      </w:r>
    </w:p>
    <w:p w14:paraId="0BA083B4" w14:textId="77777777" w:rsidR="00AF05FA" w:rsidRDefault="00AF05FA" w:rsidP="00DD1B5F">
      <w:pPr>
        <w:spacing w:line="256" w:lineRule="auto"/>
        <w:rPr>
          <w:rFonts w:asciiTheme="minorHAnsi" w:eastAsiaTheme="minorHAnsi" w:hAnsiTheme="minorHAnsi" w:cstheme="minorHAnsi"/>
          <w:color w:val="000000"/>
          <w:szCs w:val="22"/>
        </w:rPr>
      </w:pPr>
    </w:p>
    <w:p w14:paraId="27E94272" w14:textId="77777777" w:rsidR="00AF05FA" w:rsidRDefault="00AF05FA" w:rsidP="00DD1B5F">
      <w:pPr>
        <w:spacing w:line="256" w:lineRule="auto"/>
        <w:rPr>
          <w:rFonts w:asciiTheme="minorHAnsi" w:eastAsiaTheme="minorHAnsi" w:hAnsiTheme="minorHAnsi" w:cstheme="minorHAnsi"/>
          <w:color w:val="000000"/>
          <w:szCs w:val="22"/>
        </w:rPr>
      </w:pPr>
    </w:p>
    <w:p w14:paraId="3AA6CFC7" w14:textId="77777777" w:rsidR="00FF790A" w:rsidRDefault="00FF790A" w:rsidP="00DD1B5F">
      <w:pPr>
        <w:spacing w:line="256" w:lineRule="auto"/>
        <w:rPr>
          <w:rFonts w:ascii="Arial" w:eastAsia="Calibri" w:hAnsi="Arial" w:cs="Arial"/>
          <w:szCs w:val="22"/>
        </w:rPr>
      </w:pPr>
    </w:p>
    <w:p w14:paraId="2C7DE042" w14:textId="77777777" w:rsidR="00DD1B5F" w:rsidRPr="00DD1B5F" w:rsidRDefault="00DD1B5F" w:rsidP="00DD1B5F"/>
    <w:sectPr w:rsidR="00DD1B5F" w:rsidRPr="00DD1B5F" w:rsidSect="00C162EB">
      <w:headerReference w:type="default" r:id="rId88"/>
      <w:pgSz w:w="11900" w:h="16840"/>
      <w:pgMar w:top="992"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504F" w14:textId="77777777" w:rsidR="007F1AB2" w:rsidRDefault="007F1AB2">
      <w:r>
        <w:separator/>
      </w:r>
    </w:p>
  </w:endnote>
  <w:endnote w:type="continuationSeparator" w:id="0">
    <w:p w14:paraId="53D4A9C4" w14:textId="77777777" w:rsidR="007F1AB2" w:rsidRDefault="007F1AB2">
      <w:r>
        <w:continuationSeparator/>
      </w:r>
    </w:p>
  </w:endnote>
  <w:endnote w:type="continuationNotice" w:id="1">
    <w:p w14:paraId="2992C6E9" w14:textId="77777777" w:rsidR="007F1AB2" w:rsidRDefault="007F1A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STFangsong">
    <w:charset w:val="86"/>
    <w:family w:val="auto"/>
    <w:pitch w:val="variable"/>
    <w:sig w:usb0="00000287" w:usb1="080F0000" w:usb2="00000010" w:usb3="00000000" w:csb0="0004009F" w:csb1="00000000"/>
  </w:font>
  <w:font w:name="Helvetica Neue Black Condensed">
    <w:altName w:val="Bernard MT Condensed"/>
    <w:panose1 w:val="00000000000000000000"/>
    <w:charset w:val="00"/>
    <w:family w:val="auto"/>
    <w:notTrueType/>
    <w:pitch w:val="variable"/>
    <w:sig w:usb0="00000003" w:usb1="00000000" w:usb2="00000000" w:usb3="00000000" w:csb0="00000001" w:csb1="00000000"/>
  </w:font>
  <w:font w:name="Verdana Bold Italic">
    <w:panose1 w:val="00000000000000000000"/>
    <w:charset w:val="00"/>
    <w:family w:val="auto"/>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0D80" w14:textId="77777777" w:rsidR="007F1AB2" w:rsidRDefault="007F1AB2" w:rsidP="00805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0D39F" w14:textId="77777777" w:rsidR="007F1AB2" w:rsidRDefault="007F1AB2" w:rsidP="008055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8282" w14:textId="2F131213" w:rsidR="007F1AB2" w:rsidRPr="00E86CA0" w:rsidRDefault="007F1AB2" w:rsidP="008055A2">
    <w:pPr>
      <w:pStyle w:val="Footer"/>
      <w:ind w:right="360"/>
      <w:jc w:val="center"/>
      <w:rPr>
        <w:color w:val="2C7890"/>
        <w:sz w:val="16"/>
        <w:szCs w:val="16"/>
      </w:rPr>
    </w:pPr>
    <w:r w:rsidRPr="00E86CA0">
      <w:rPr>
        <w:color w:val="2C7890"/>
        <w:sz w:val="16"/>
        <w:szCs w:val="16"/>
      </w:rPr>
      <w:t xml:space="preserve">- </w:t>
    </w:r>
    <w:r w:rsidRPr="00E86CA0">
      <w:rPr>
        <w:color w:val="2C7890"/>
        <w:sz w:val="16"/>
        <w:szCs w:val="16"/>
      </w:rPr>
      <w:fldChar w:fldCharType="begin"/>
    </w:r>
    <w:r w:rsidRPr="00E86CA0">
      <w:rPr>
        <w:color w:val="2C7890"/>
        <w:sz w:val="16"/>
        <w:szCs w:val="16"/>
      </w:rPr>
      <w:instrText xml:space="preserve"> PAGE </w:instrText>
    </w:r>
    <w:r w:rsidRPr="00E86CA0">
      <w:rPr>
        <w:color w:val="2C7890"/>
        <w:sz w:val="16"/>
        <w:szCs w:val="16"/>
      </w:rPr>
      <w:fldChar w:fldCharType="separate"/>
    </w:r>
    <w:r w:rsidR="00927E5C">
      <w:rPr>
        <w:noProof/>
        <w:color w:val="2C7890"/>
        <w:sz w:val="16"/>
        <w:szCs w:val="16"/>
      </w:rPr>
      <w:t>20</w:t>
    </w:r>
    <w:r w:rsidRPr="00E86CA0">
      <w:rPr>
        <w:color w:val="2C7890"/>
        <w:sz w:val="16"/>
        <w:szCs w:val="16"/>
      </w:rPr>
      <w:fldChar w:fldCharType="end"/>
    </w:r>
    <w:r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BF6D" w14:textId="77777777" w:rsidR="007F1AB2" w:rsidRDefault="007F1AB2">
    <w:pPr>
      <w:pStyle w:val="Footer"/>
    </w:pPr>
    <w:r>
      <w:rPr>
        <w:noProof/>
        <w:lang w:eastAsia="en-AU"/>
      </w:rPr>
      <w:drawing>
        <wp:anchor distT="0" distB="0" distL="114300" distR="114300" simplePos="0" relativeHeight="251657728" behindDoc="1" locked="0" layoutInCell="1" allowOverlap="1" wp14:anchorId="74E96BC3" wp14:editId="39D80456">
          <wp:simplePos x="0" y="0"/>
          <wp:positionH relativeFrom="column">
            <wp:posOffset>-609600</wp:posOffset>
          </wp:positionH>
          <wp:positionV relativeFrom="paragraph">
            <wp:posOffset>-1325880</wp:posOffset>
          </wp:positionV>
          <wp:extent cx="1981200" cy="1879600"/>
          <wp:effectExtent l="0" t="0" r="0" b="0"/>
          <wp:wrapNone/>
          <wp:docPr id="16" name="Picture 16"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5238" w14:textId="77777777" w:rsidR="007F1AB2" w:rsidRDefault="007F1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C84B2" w14:textId="77777777" w:rsidR="007F1AB2" w:rsidRDefault="007F1AB2">
      <w:r>
        <w:separator/>
      </w:r>
    </w:p>
  </w:footnote>
  <w:footnote w:type="continuationSeparator" w:id="0">
    <w:p w14:paraId="4ACC94A4" w14:textId="77777777" w:rsidR="007F1AB2" w:rsidRDefault="007F1AB2">
      <w:r>
        <w:continuationSeparator/>
      </w:r>
    </w:p>
  </w:footnote>
  <w:footnote w:type="continuationNotice" w:id="1">
    <w:p w14:paraId="336EE293" w14:textId="77777777" w:rsidR="007F1AB2" w:rsidRDefault="007F1A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6DC3" w14:textId="48A1A4F1" w:rsidR="007F1AB2" w:rsidRDefault="007F1AB2">
    <w:pPr>
      <w:pStyle w:val="Header"/>
    </w:pPr>
    <w:r>
      <w:rPr>
        <w:noProof/>
        <w:lang w:eastAsia="en-AU"/>
      </w:rPr>
      <w:drawing>
        <wp:anchor distT="0" distB="648335" distL="114300" distR="114300" simplePos="0" relativeHeight="251656704" behindDoc="0" locked="0" layoutInCell="1" allowOverlap="1" wp14:anchorId="037FDBE3" wp14:editId="5B23510E">
          <wp:simplePos x="0" y="0"/>
          <wp:positionH relativeFrom="page">
            <wp:posOffset>-122555</wp:posOffset>
          </wp:positionH>
          <wp:positionV relativeFrom="page">
            <wp:posOffset>-1905</wp:posOffset>
          </wp:positionV>
          <wp:extent cx="7548880" cy="1645920"/>
          <wp:effectExtent l="0" t="0" r="0" b="0"/>
          <wp:wrapTopAndBottom/>
          <wp:docPr id="15" name="Picture 14" descr="heade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645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AAAF" w14:textId="77777777" w:rsidR="007F1AB2" w:rsidRDefault="007F1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Pr>
    <w:tblGrid>
      <w:gridCol w:w="3216"/>
      <w:gridCol w:w="3996"/>
      <w:gridCol w:w="4072"/>
      <w:gridCol w:w="1059"/>
      <w:gridCol w:w="10181"/>
    </w:tblGrid>
    <w:tr w:rsidR="007F1AB2" w:rsidRPr="00DD08A3" w14:paraId="5A1CDEE0" w14:textId="77777777" w:rsidTr="007865FB">
      <w:trPr>
        <w:trHeight w:val="567"/>
      </w:trPr>
      <w:tc>
        <w:tcPr>
          <w:tcW w:w="714" w:type="pct"/>
          <w:shd w:val="clear" w:color="auto" w:fill="BFBFBF" w:themeFill="background1" w:themeFillShade="BF"/>
          <w:vAlign w:val="center"/>
        </w:tcPr>
        <w:p w14:paraId="75FE16C7" w14:textId="77777777" w:rsidR="007F1AB2" w:rsidRPr="00DD08A3" w:rsidRDefault="007F1AB2" w:rsidP="00DD08A3">
          <w:pPr>
            <w:pStyle w:val="Header"/>
            <w:rPr>
              <w:b/>
              <w:lang w:val="en-GB"/>
            </w:rPr>
          </w:pPr>
          <w:r>
            <w:rPr>
              <w:b/>
              <w:lang w:val="en-GB"/>
            </w:rPr>
            <w:t xml:space="preserve">        </w:t>
          </w:r>
          <w:r w:rsidRPr="00DD08A3">
            <w:rPr>
              <w:b/>
              <w:lang w:val="en-GB"/>
            </w:rPr>
            <w:t>Measures</w:t>
          </w:r>
        </w:p>
      </w:tc>
      <w:tc>
        <w:tcPr>
          <w:tcW w:w="887" w:type="pct"/>
          <w:shd w:val="clear" w:color="auto" w:fill="BFBFBF" w:themeFill="background1" w:themeFillShade="BF"/>
          <w:vAlign w:val="center"/>
        </w:tcPr>
        <w:p w14:paraId="2FBCCDB9" w14:textId="77777777" w:rsidR="007F1AB2" w:rsidRPr="00DD08A3" w:rsidRDefault="007F1AB2" w:rsidP="00DD08A3">
          <w:pPr>
            <w:pStyle w:val="Header"/>
            <w:rPr>
              <w:b/>
              <w:lang w:val="en-GB"/>
            </w:rPr>
          </w:pPr>
          <w:r>
            <w:rPr>
              <w:b/>
              <w:lang w:val="en-GB"/>
            </w:rPr>
            <w:t xml:space="preserve">           </w:t>
          </w:r>
          <w:r w:rsidRPr="00DD08A3">
            <w:rPr>
              <w:b/>
              <w:lang w:val="en-GB"/>
            </w:rPr>
            <w:t>Evidence</w:t>
          </w:r>
        </w:p>
      </w:tc>
      <w:tc>
        <w:tcPr>
          <w:tcW w:w="904" w:type="pct"/>
          <w:shd w:val="clear" w:color="auto" w:fill="BFBFBF" w:themeFill="background1" w:themeFillShade="BF"/>
          <w:vAlign w:val="center"/>
        </w:tcPr>
        <w:p w14:paraId="792D0EBE" w14:textId="77777777" w:rsidR="007F1AB2" w:rsidRPr="00DD08A3" w:rsidRDefault="007F1AB2" w:rsidP="00DD08A3">
          <w:pPr>
            <w:pStyle w:val="Header"/>
            <w:rPr>
              <w:b/>
              <w:lang w:val="en-GB"/>
            </w:rPr>
          </w:pPr>
          <w:r w:rsidRPr="00DD08A3">
            <w:rPr>
              <w:b/>
              <w:lang w:val="en-GB"/>
            </w:rPr>
            <w:t xml:space="preserve">Source </w:t>
          </w:r>
        </w:p>
      </w:tc>
      <w:tc>
        <w:tcPr>
          <w:tcW w:w="235" w:type="pct"/>
          <w:shd w:val="clear" w:color="auto" w:fill="BFBFBF" w:themeFill="background1" w:themeFillShade="BF"/>
          <w:vAlign w:val="center"/>
        </w:tcPr>
        <w:p w14:paraId="509B7560" w14:textId="77777777" w:rsidR="007F1AB2" w:rsidRPr="00DD08A3" w:rsidRDefault="007F1AB2" w:rsidP="00DD08A3">
          <w:pPr>
            <w:pStyle w:val="Header"/>
            <w:rPr>
              <w:b/>
              <w:lang w:val="en-GB"/>
            </w:rPr>
          </w:pPr>
          <w:r w:rsidRPr="00DD08A3">
            <w:rPr>
              <w:b/>
              <w:lang w:val="en-GB"/>
            </w:rPr>
            <w:t>Result</w:t>
          </w:r>
        </w:p>
      </w:tc>
      <w:tc>
        <w:tcPr>
          <w:tcW w:w="2260" w:type="pct"/>
          <w:shd w:val="clear" w:color="auto" w:fill="BFBFBF" w:themeFill="background1" w:themeFillShade="BF"/>
          <w:vAlign w:val="center"/>
        </w:tcPr>
        <w:p w14:paraId="76F2C282" w14:textId="77777777" w:rsidR="007F1AB2" w:rsidRPr="00DD08A3" w:rsidRDefault="007F1AB2" w:rsidP="00DD08A3">
          <w:pPr>
            <w:pStyle w:val="Header"/>
            <w:rPr>
              <w:b/>
              <w:lang w:val="en-GB"/>
            </w:rPr>
          </w:pPr>
          <w:r>
            <w:rPr>
              <w:b/>
              <w:lang w:val="en-GB"/>
            </w:rPr>
            <w:t xml:space="preserve">  </w:t>
          </w:r>
          <w:r w:rsidRPr="00DD08A3">
            <w:rPr>
              <w:b/>
              <w:lang w:val="en-GB"/>
            </w:rPr>
            <w:t>Analysis</w:t>
          </w:r>
        </w:p>
      </w:tc>
    </w:tr>
  </w:tbl>
  <w:p w14:paraId="209F15B6" w14:textId="77777777" w:rsidR="007F1AB2" w:rsidRPr="00DD08A3" w:rsidRDefault="007F1AB2" w:rsidP="00DD08A3">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7D80" w14:textId="77777777" w:rsidR="007F1AB2" w:rsidRDefault="007F1A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F7BE" w14:textId="77777777" w:rsidR="007F1AB2" w:rsidRDefault="007F1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861BB6"/>
    <w:lvl w:ilvl="0">
      <w:start w:val="1"/>
      <w:numFmt w:val="bullet"/>
      <w:pStyle w:val="ListBullet"/>
      <w:lvlText w:val=""/>
      <w:lvlJc w:val="left"/>
      <w:pPr>
        <w:tabs>
          <w:tab w:val="num" w:pos="717"/>
        </w:tabs>
        <w:ind w:left="717" w:hanging="717"/>
      </w:pPr>
      <w:rPr>
        <w:rFonts w:ascii="Symbol" w:hAnsi="Symbol" w:hint="default"/>
      </w:rPr>
    </w:lvl>
  </w:abstractNum>
  <w:abstractNum w:abstractNumId="1" w15:restartNumberingAfterBreak="0">
    <w:nsid w:val="03EF1759"/>
    <w:multiLevelType w:val="hybridMultilevel"/>
    <w:tmpl w:val="DDF8383C"/>
    <w:lvl w:ilvl="0" w:tplc="D1369EE0">
      <w:start w:val="1"/>
      <w:numFmt w:val="bullet"/>
      <w:lvlText w:val=""/>
      <w:lvlJc w:val="left"/>
      <w:pPr>
        <w:tabs>
          <w:tab w:val="num" w:pos="720"/>
        </w:tabs>
        <w:ind w:left="720" w:hanging="360"/>
      </w:pPr>
      <w:rPr>
        <w:rFonts w:ascii="Symbol" w:hAnsi="Symbol" w:hint="default"/>
      </w:rPr>
    </w:lvl>
    <w:lvl w:ilvl="1" w:tplc="937433B4" w:tentative="1">
      <w:start w:val="1"/>
      <w:numFmt w:val="bullet"/>
      <w:lvlText w:val=""/>
      <w:lvlJc w:val="left"/>
      <w:pPr>
        <w:tabs>
          <w:tab w:val="num" w:pos="1440"/>
        </w:tabs>
        <w:ind w:left="1440" w:hanging="360"/>
      </w:pPr>
      <w:rPr>
        <w:rFonts w:ascii="Symbol" w:hAnsi="Symbol" w:hint="default"/>
      </w:rPr>
    </w:lvl>
    <w:lvl w:ilvl="2" w:tplc="F13C3C3E" w:tentative="1">
      <w:start w:val="1"/>
      <w:numFmt w:val="bullet"/>
      <w:lvlText w:val=""/>
      <w:lvlJc w:val="left"/>
      <w:pPr>
        <w:tabs>
          <w:tab w:val="num" w:pos="2160"/>
        </w:tabs>
        <w:ind w:left="2160" w:hanging="360"/>
      </w:pPr>
      <w:rPr>
        <w:rFonts w:ascii="Symbol" w:hAnsi="Symbol" w:hint="default"/>
      </w:rPr>
    </w:lvl>
    <w:lvl w:ilvl="3" w:tplc="7912153A" w:tentative="1">
      <w:start w:val="1"/>
      <w:numFmt w:val="bullet"/>
      <w:lvlText w:val=""/>
      <w:lvlJc w:val="left"/>
      <w:pPr>
        <w:tabs>
          <w:tab w:val="num" w:pos="2880"/>
        </w:tabs>
        <w:ind w:left="2880" w:hanging="360"/>
      </w:pPr>
      <w:rPr>
        <w:rFonts w:ascii="Symbol" w:hAnsi="Symbol" w:hint="default"/>
      </w:rPr>
    </w:lvl>
    <w:lvl w:ilvl="4" w:tplc="95988FCA" w:tentative="1">
      <w:start w:val="1"/>
      <w:numFmt w:val="bullet"/>
      <w:lvlText w:val=""/>
      <w:lvlJc w:val="left"/>
      <w:pPr>
        <w:tabs>
          <w:tab w:val="num" w:pos="3600"/>
        </w:tabs>
        <w:ind w:left="3600" w:hanging="360"/>
      </w:pPr>
      <w:rPr>
        <w:rFonts w:ascii="Symbol" w:hAnsi="Symbol" w:hint="default"/>
      </w:rPr>
    </w:lvl>
    <w:lvl w:ilvl="5" w:tplc="E56A92FC" w:tentative="1">
      <w:start w:val="1"/>
      <w:numFmt w:val="bullet"/>
      <w:lvlText w:val=""/>
      <w:lvlJc w:val="left"/>
      <w:pPr>
        <w:tabs>
          <w:tab w:val="num" w:pos="4320"/>
        </w:tabs>
        <w:ind w:left="4320" w:hanging="360"/>
      </w:pPr>
      <w:rPr>
        <w:rFonts w:ascii="Symbol" w:hAnsi="Symbol" w:hint="default"/>
      </w:rPr>
    </w:lvl>
    <w:lvl w:ilvl="6" w:tplc="3466B70E" w:tentative="1">
      <w:start w:val="1"/>
      <w:numFmt w:val="bullet"/>
      <w:lvlText w:val=""/>
      <w:lvlJc w:val="left"/>
      <w:pPr>
        <w:tabs>
          <w:tab w:val="num" w:pos="5040"/>
        </w:tabs>
        <w:ind w:left="5040" w:hanging="360"/>
      </w:pPr>
      <w:rPr>
        <w:rFonts w:ascii="Symbol" w:hAnsi="Symbol" w:hint="default"/>
      </w:rPr>
    </w:lvl>
    <w:lvl w:ilvl="7" w:tplc="3E62C4B4" w:tentative="1">
      <w:start w:val="1"/>
      <w:numFmt w:val="bullet"/>
      <w:lvlText w:val=""/>
      <w:lvlJc w:val="left"/>
      <w:pPr>
        <w:tabs>
          <w:tab w:val="num" w:pos="5760"/>
        </w:tabs>
        <w:ind w:left="5760" w:hanging="360"/>
      </w:pPr>
      <w:rPr>
        <w:rFonts w:ascii="Symbol" w:hAnsi="Symbol" w:hint="default"/>
      </w:rPr>
    </w:lvl>
    <w:lvl w:ilvl="8" w:tplc="E0B6597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1441C2"/>
    <w:multiLevelType w:val="hybridMultilevel"/>
    <w:tmpl w:val="F674524A"/>
    <w:lvl w:ilvl="0" w:tplc="5E9AAF5A">
      <w:start w:val="1"/>
      <w:numFmt w:val="bullet"/>
      <w:lvlText w:val=""/>
      <w:lvlJc w:val="left"/>
      <w:pPr>
        <w:tabs>
          <w:tab w:val="num" w:pos="720"/>
        </w:tabs>
        <w:ind w:left="720" w:hanging="360"/>
      </w:pPr>
      <w:rPr>
        <w:rFonts w:ascii="Symbol" w:hAnsi="Symbol" w:hint="default"/>
      </w:rPr>
    </w:lvl>
    <w:lvl w:ilvl="1" w:tplc="91B8B28A" w:tentative="1">
      <w:start w:val="1"/>
      <w:numFmt w:val="bullet"/>
      <w:lvlText w:val=""/>
      <w:lvlJc w:val="left"/>
      <w:pPr>
        <w:tabs>
          <w:tab w:val="num" w:pos="1440"/>
        </w:tabs>
        <w:ind w:left="1440" w:hanging="360"/>
      </w:pPr>
      <w:rPr>
        <w:rFonts w:ascii="Symbol" w:hAnsi="Symbol" w:hint="default"/>
      </w:rPr>
    </w:lvl>
    <w:lvl w:ilvl="2" w:tplc="C9DC7274" w:tentative="1">
      <w:start w:val="1"/>
      <w:numFmt w:val="bullet"/>
      <w:lvlText w:val=""/>
      <w:lvlJc w:val="left"/>
      <w:pPr>
        <w:tabs>
          <w:tab w:val="num" w:pos="2160"/>
        </w:tabs>
        <w:ind w:left="2160" w:hanging="360"/>
      </w:pPr>
      <w:rPr>
        <w:rFonts w:ascii="Symbol" w:hAnsi="Symbol" w:hint="default"/>
      </w:rPr>
    </w:lvl>
    <w:lvl w:ilvl="3" w:tplc="467EC6D0" w:tentative="1">
      <w:start w:val="1"/>
      <w:numFmt w:val="bullet"/>
      <w:lvlText w:val=""/>
      <w:lvlJc w:val="left"/>
      <w:pPr>
        <w:tabs>
          <w:tab w:val="num" w:pos="2880"/>
        </w:tabs>
        <w:ind w:left="2880" w:hanging="360"/>
      </w:pPr>
      <w:rPr>
        <w:rFonts w:ascii="Symbol" w:hAnsi="Symbol" w:hint="default"/>
      </w:rPr>
    </w:lvl>
    <w:lvl w:ilvl="4" w:tplc="A4944C9A" w:tentative="1">
      <w:start w:val="1"/>
      <w:numFmt w:val="bullet"/>
      <w:lvlText w:val=""/>
      <w:lvlJc w:val="left"/>
      <w:pPr>
        <w:tabs>
          <w:tab w:val="num" w:pos="3600"/>
        </w:tabs>
        <w:ind w:left="3600" w:hanging="360"/>
      </w:pPr>
      <w:rPr>
        <w:rFonts w:ascii="Symbol" w:hAnsi="Symbol" w:hint="default"/>
      </w:rPr>
    </w:lvl>
    <w:lvl w:ilvl="5" w:tplc="284C4FEA" w:tentative="1">
      <w:start w:val="1"/>
      <w:numFmt w:val="bullet"/>
      <w:lvlText w:val=""/>
      <w:lvlJc w:val="left"/>
      <w:pPr>
        <w:tabs>
          <w:tab w:val="num" w:pos="4320"/>
        </w:tabs>
        <w:ind w:left="4320" w:hanging="360"/>
      </w:pPr>
      <w:rPr>
        <w:rFonts w:ascii="Symbol" w:hAnsi="Symbol" w:hint="default"/>
      </w:rPr>
    </w:lvl>
    <w:lvl w:ilvl="6" w:tplc="3DDC9E2C" w:tentative="1">
      <w:start w:val="1"/>
      <w:numFmt w:val="bullet"/>
      <w:lvlText w:val=""/>
      <w:lvlJc w:val="left"/>
      <w:pPr>
        <w:tabs>
          <w:tab w:val="num" w:pos="5040"/>
        </w:tabs>
        <w:ind w:left="5040" w:hanging="360"/>
      </w:pPr>
      <w:rPr>
        <w:rFonts w:ascii="Symbol" w:hAnsi="Symbol" w:hint="default"/>
      </w:rPr>
    </w:lvl>
    <w:lvl w:ilvl="7" w:tplc="68528EBA" w:tentative="1">
      <w:start w:val="1"/>
      <w:numFmt w:val="bullet"/>
      <w:lvlText w:val=""/>
      <w:lvlJc w:val="left"/>
      <w:pPr>
        <w:tabs>
          <w:tab w:val="num" w:pos="5760"/>
        </w:tabs>
        <w:ind w:left="5760" w:hanging="360"/>
      </w:pPr>
      <w:rPr>
        <w:rFonts w:ascii="Symbol" w:hAnsi="Symbol" w:hint="default"/>
      </w:rPr>
    </w:lvl>
    <w:lvl w:ilvl="8" w:tplc="0CB0283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BD1E23"/>
    <w:multiLevelType w:val="hybridMultilevel"/>
    <w:tmpl w:val="B1C69652"/>
    <w:lvl w:ilvl="0" w:tplc="572463E6">
      <w:start w:val="1"/>
      <w:numFmt w:val="bullet"/>
      <w:lvlText w:val=""/>
      <w:lvlJc w:val="left"/>
      <w:pPr>
        <w:tabs>
          <w:tab w:val="num" w:pos="720"/>
        </w:tabs>
        <w:ind w:left="720" w:hanging="360"/>
      </w:pPr>
      <w:rPr>
        <w:rFonts w:ascii="Symbol" w:hAnsi="Symbol" w:hint="default"/>
      </w:rPr>
    </w:lvl>
    <w:lvl w:ilvl="1" w:tplc="0972D914" w:tentative="1">
      <w:start w:val="1"/>
      <w:numFmt w:val="bullet"/>
      <w:lvlText w:val=""/>
      <w:lvlJc w:val="left"/>
      <w:pPr>
        <w:tabs>
          <w:tab w:val="num" w:pos="1440"/>
        </w:tabs>
        <w:ind w:left="1440" w:hanging="360"/>
      </w:pPr>
      <w:rPr>
        <w:rFonts w:ascii="Symbol" w:hAnsi="Symbol" w:hint="default"/>
      </w:rPr>
    </w:lvl>
    <w:lvl w:ilvl="2" w:tplc="63BC7A9C" w:tentative="1">
      <w:start w:val="1"/>
      <w:numFmt w:val="bullet"/>
      <w:lvlText w:val=""/>
      <w:lvlJc w:val="left"/>
      <w:pPr>
        <w:tabs>
          <w:tab w:val="num" w:pos="2160"/>
        </w:tabs>
        <w:ind w:left="2160" w:hanging="360"/>
      </w:pPr>
      <w:rPr>
        <w:rFonts w:ascii="Symbol" w:hAnsi="Symbol" w:hint="default"/>
      </w:rPr>
    </w:lvl>
    <w:lvl w:ilvl="3" w:tplc="45426A76" w:tentative="1">
      <w:start w:val="1"/>
      <w:numFmt w:val="bullet"/>
      <w:lvlText w:val=""/>
      <w:lvlJc w:val="left"/>
      <w:pPr>
        <w:tabs>
          <w:tab w:val="num" w:pos="2880"/>
        </w:tabs>
        <w:ind w:left="2880" w:hanging="360"/>
      </w:pPr>
      <w:rPr>
        <w:rFonts w:ascii="Symbol" w:hAnsi="Symbol" w:hint="default"/>
      </w:rPr>
    </w:lvl>
    <w:lvl w:ilvl="4" w:tplc="B21A1F82" w:tentative="1">
      <w:start w:val="1"/>
      <w:numFmt w:val="bullet"/>
      <w:lvlText w:val=""/>
      <w:lvlJc w:val="left"/>
      <w:pPr>
        <w:tabs>
          <w:tab w:val="num" w:pos="3600"/>
        </w:tabs>
        <w:ind w:left="3600" w:hanging="360"/>
      </w:pPr>
      <w:rPr>
        <w:rFonts w:ascii="Symbol" w:hAnsi="Symbol" w:hint="default"/>
      </w:rPr>
    </w:lvl>
    <w:lvl w:ilvl="5" w:tplc="1FD6C810" w:tentative="1">
      <w:start w:val="1"/>
      <w:numFmt w:val="bullet"/>
      <w:lvlText w:val=""/>
      <w:lvlJc w:val="left"/>
      <w:pPr>
        <w:tabs>
          <w:tab w:val="num" w:pos="4320"/>
        </w:tabs>
        <w:ind w:left="4320" w:hanging="360"/>
      </w:pPr>
      <w:rPr>
        <w:rFonts w:ascii="Symbol" w:hAnsi="Symbol" w:hint="default"/>
      </w:rPr>
    </w:lvl>
    <w:lvl w:ilvl="6" w:tplc="80BAE9B6" w:tentative="1">
      <w:start w:val="1"/>
      <w:numFmt w:val="bullet"/>
      <w:lvlText w:val=""/>
      <w:lvlJc w:val="left"/>
      <w:pPr>
        <w:tabs>
          <w:tab w:val="num" w:pos="5040"/>
        </w:tabs>
        <w:ind w:left="5040" w:hanging="360"/>
      </w:pPr>
      <w:rPr>
        <w:rFonts w:ascii="Symbol" w:hAnsi="Symbol" w:hint="default"/>
      </w:rPr>
    </w:lvl>
    <w:lvl w:ilvl="7" w:tplc="6A14FFA4" w:tentative="1">
      <w:start w:val="1"/>
      <w:numFmt w:val="bullet"/>
      <w:lvlText w:val=""/>
      <w:lvlJc w:val="left"/>
      <w:pPr>
        <w:tabs>
          <w:tab w:val="num" w:pos="5760"/>
        </w:tabs>
        <w:ind w:left="5760" w:hanging="360"/>
      </w:pPr>
      <w:rPr>
        <w:rFonts w:ascii="Symbol" w:hAnsi="Symbol" w:hint="default"/>
      </w:rPr>
    </w:lvl>
    <w:lvl w:ilvl="8" w:tplc="DE3C1D1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462270"/>
    <w:multiLevelType w:val="hybridMultilevel"/>
    <w:tmpl w:val="BA3622CA"/>
    <w:lvl w:ilvl="0" w:tplc="0E005946">
      <w:start w:val="1"/>
      <w:numFmt w:val="bullet"/>
      <w:lvlText w:val=""/>
      <w:lvlJc w:val="left"/>
      <w:pPr>
        <w:tabs>
          <w:tab w:val="num" w:pos="720"/>
        </w:tabs>
        <w:ind w:left="720" w:hanging="360"/>
      </w:pPr>
      <w:rPr>
        <w:rFonts w:ascii="Symbol" w:hAnsi="Symbol" w:hint="default"/>
      </w:rPr>
    </w:lvl>
    <w:lvl w:ilvl="1" w:tplc="35E62D1E" w:tentative="1">
      <w:start w:val="1"/>
      <w:numFmt w:val="bullet"/>
      <w:lvlText w:val=""/>
      <w:lvlJc w:val="left"/>
      <w:pPr>
        <w:tabs>
          <w:tab w:val="num" w:pos="1440"/>
        </w:tabs>
        <w:ind w:left="1440" w:hanging="360"/>
      </w:pPr>
      <w:rPr>
        <w:rFonts w:ascii="Symbol" w:hAnsi="Symbol" w:hint="default"/>
      </w:rPr>
    </w:lvl>
    <w:lvl w:ilvl="2" w:tplc="1F7C5230" w:tentative="1">
      <w:start w:val="1"/>
      <w:numFmt w:val="bullet"/>
      <w:lvlText w:val=""/>
      <w:lvlJc w:val="left"/>
      <w:pPr>
        <w:tabs>
          <w:tab w:val="num" w:pos="2160"/>
        </w:tabs>
        <w:ind w:left="2160" w:hanging="360"/>
      </w:pPr>
      <w:rPr>
        <w:rFonts w:ascii="Symbol" w:hAnsi="Symbol" w:hint="default"/>
      </w:rPr>
    </w:lvl>
    <w:lvl w:ilvl="3" w:tplc="78DC17BE" w:tentative="1">
      <w:start w:val="1"/>
      <w:numFmt w:val="bullet"/>
      <w:lvlText w:val=""/>
      <w:lvlJc w:val="left"/>
      <w:pPr>
        <w:tabs>
          <w:tab w:val="num" w:pos="2880"/>
        </w:tabs>
        <w:ind w:left="2880" w:hanging="360"/>
      </w:pPr>
      <w:rPr>
        <w:rFonts w:ascii="Symbol" w:hAnsi="Symbol" w:hint="default"/>
      </w:rPr>
    </w:lvl>
    <w:lvl w:ilvl="4" w:tplc="336C0144" w:tentative="1">
      <w:start w:val="1"/>
      <w:numFmt w:val="bullet"/>
      <w:lvlText w:val=""/>
      <w:lvlJc w:val="left"/>
      <w:pPr>
        <w:tabs>
          <w:tab w:val="num" w:pos="3600"/>
        </w:tabs>
        <w:ind w:left="3600" w:hanging="360"/>
      </w:pPr>
      <w:rPr>
        <w:rFonts w:ascii="Symbol" w:hAnsi="Symbol" w:hint="default"/>
      </w:rPr>
    </w:lvl>
    <w:lvl w:ilvl="5" w:tplc="F61A02DC" w:tentative="1">
      <w:start w:val="1"/>
      <w:numFmt w:val="bullet"/>
      <w:lvlText w:val=""/>
      <w:lvlJc w:val="left"/>
      <w:pPr>
        <w:tabs>
          <w:tab w:val="num" w:pos="4320"/>
        </w:tabs>
        <w:ind w:left="4320" w:hanging="360"/>
      </w:pPr>
      <w:rPr>
        <w:rFonts w:ascii="Symbol" w:hAnsi="Symbol" w:hint="default"/>
      </w:rPr>
    </w:lvl>
    <w:lvl w:ilvl="6" w:tplc="09DCB0A6" w:tentative="1">
      <w:start w:val="1"/>
      <w:numFmt w:val="bullet"/>
      <w:lvlText w:val=""/>
      <w:lvlJc w:val="left"/>
      <w:pPr>
        <w:tabs>
          <w:tab w:val="num" w:pos="5040"/>
        </w:tabs>
        <w:ind w:left="5040" w:hanging="360"/>
      </w:pPr>
      <w:rPr>
        <w:rFonts w:ascii="Symbol" w:hAnsi="Symbol" w:hint="default"/>
      </w:rPr>
    </w:lvl>
    <w:lvl w:ilvl="7" w:tplc="61C2C4FE" w:tentative="1">
      <w:start w:val="1"/>
      <w:numFmt w:val="bullet"/>
      <w:lvlText w:val=""/>
      <w:lvlJc w:val="left"/>
      <w:pPr>
        <w:tabs>
          <w:tab w:val="num" w:pos="5760"/>
        </w:tabs>
        <w:ind w:left="5760" w:hanging="360"/>
      </w:pPr>
      <w:rPr>
        <w:rFonts w:ascii="Symbol" w:hAnsi="Symbol" w:hint="default"/>
      </w:rPr>
    </w:lvl>
    <w:lvl w:ilvl="8" w:tplc="DAB8679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9803274"/>
    <w:multiLevelType w:val="hybridMultilevel"/>
    <w:tmpl w:val="8C7C17C2"/>
    <w:lvl w:ilvl="0" w:tplc="AE884030">
      <w:start w:val="1"/>
      <w:numFmt w:val="bullet"/>
      <w:lvlText w:val=""/>
      <w:lvlJc w:val="left"/>
      <w:pPr>
        <w:tabs>
          <w:tab w:val="num" w:pos="360"/>
        </w:tabs>
        <w:ind w:left="360" w:hanging="360"/>
      </w:pPr>
      <w:rPr>
        <w:rFonts w:ascii="Symbol" w:hAnsi="Symbol" w:hint="default"/>
      </w:rPr>
    </w:lvl>
    <w:lvl w:ilvl="1" w:tplc="EF7629DC" w:tentative="1">
      <w:start w:val="1"/>
      <w:numFmt w:val="bullet"/>
      <w:lvlText w:val=""/>
      <w:lvlJc w:val="left"/>
      <w:pPr>
        <w:tabs>
          <w:tab w:val="num" w:pos="1080"/>
        </w:tabs>
        <w:ind w:left="1080" w:hanging="360"/>
      </w:pPr>
      <w:rPr>
        <w:rFonts w:ascii="Symbol" w:hAnsi="Symbol" w:hint="default"/>
      </w:rPr>
    </w:lvl>
    <w:lvl w:ilvl="2" w:tplc="62A6CE20" w:tentative="1">
      <w:start w:val="1"/>
      <w:numFmt w:val="bullet"/>
      <w:lvlText w:val=""/>
      <w:lvlJc w:val="left"/>
      <w:pPr>
        <w:tabs>
          <w:tab w:val="num" w:pos="1800"/>
        </w:tabs>
        <w:ind w:left="1800" w:hanging="360"/>
      </w:pPr>
      <w:rPr>
        <w:rFonts w:ascii="Symbol" w:hAnsi="Symbol" w:hint="default"/>
      </w:rPr>
    </w:lvl>
    <w:lvl w:ilvl="3" w:tplc="52783856" w:tentative="1">
      <w:start w:val="1"/>
      <w:numFmt w:val="bullet"/>
      <w:lvlText w:val=""/>
      <w:lvlJc w:val="left"/>
      <w:pPr>
        <w:tabs>
          <w:tab w:val="num" w:pos="2520"/>
        </w:tabs>
        <w:ind w:left="2520" w:hanging="360"/>
      </w:pPr>
      <w:rPr>
        <w:rFonts w:ascii="Symbol" w:hAnsi="Symbol" w:hint="default"/>
      </w:rPr>
    </w:lvl>
    <w:lvl w:ilvl="4" w:tplc="B554F006" w:tentative="1">
      <w:start w:val="1"/>
      <w:numFmt w:val="bullet"/>
      <w:lvlText w:val=""/>
      <w:lvlJc w:val="left"/>
      <w:pPr>
        <w:tabs>
          <w:tab w:val="num" w:pos="3240"/>
        </w:tabs>
        <w:ind w:left="3240" w:hanging="360"/>
      </w:pPr>
      <w:rPr>
        <w:rFonts w:ascii="Symbol" w:hAnsi="Symbol" w:hint="default"/>
      </w:rPr>
    </w:lvl>
    <w:lvl w:ilvl="5" w:tplc="AF140BC0" w:tentative="1">
      <w:start w:val="1"/>
      <w:numFmt w:val="bullet"/>
      <w:lvlText w:val=""/>
      <w:lvlJc w:val="left"/>
      <w:pPr>
        <w:tabs>
          <w:tab w:val="num" w:pos="3960"/>
        </w:tabs>
        <w:ind w:left="3960" w:hanging="360"/>
      </w:pPr>
      <w:rPr>
        <w:rFonts w:ascii="Symbol" w:hAnsi="Symbol" w:hint="default"/>
      </w:rPr>
    </w:lvl>
    <w:lvl w:ilvl="6" w:tplc="1A58208C" w:tentative="1">
      <w:start w:val="1"/>
      <w:numFmt w:val="bullet"/>
      <w:lvlText w:val=""/>
      <w:lvlJc w:val="left"/>
      <w:pPr>
        <w:tabs>
          <w:tab w:val="num" w:pos="4680"/>
        </w:tabs>
        <w:ind w:left="4680" w:hanging="360"/>
      </w:pPr>
      <w:rPr>
        <w:rFonts w:ascii="Symbol" w:hAnsi="Symbol" w:hint="default"/>
      </w:rPr>
    </w:lvl>
    <w:lvl w:ilvl="7" w:tplc="13BA270C" w:tentative="1">
      <w:start w:val="1"/>
      <w:numFmt w:val="bullet"/>
      <w:lvlText w:val=""/>
      <w:lvlJc w:val="left"/>
      <w:pPr>
        <w:tabs>
          <w:tab w:val="num" w:pos="5400"/>
        </w:tabs>
        <w:ind w:left="5400" w:hanging="360"/>
      </w:pPr>
      <w:rPr>
        <w:rFonts w:ascii="Symbol" w:hAnsi="Symbol" w:hint="default"/>
      </w:rPr>
    </w:lvl>
    <w:lvl w:ilvl="8" w:tplc="4E58D4F6"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0F985C68"/>
    <w:multiLevelType w:val="hybridMultilevel"/>
    <w:tmpl w:val="8C7CD368"/>
    <w:lvl w:ilvl="0" w:tplc="B7163480">
      <w:start w:val="1"/>
      <w:numFmt w:val="decimal"/>
      <w:lvlText w:val="%1."/>
      <w:lvlJc w:val="left"/>
      <w:pPr>
        <w:ind w:left="397" w:hanging="397"/>
      </w:pPr>
      <w:rPr>
        <w:rFonts w:hint="default"/>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054C5B"/>
    <w:multiLevelType w:val="hybridMultilevel"/>
    <w:tmpl w:val="EAD6D6BE"/>
    <w:lvl w:ilvl="0" w:tplc="D75ED276">
      <w:start w:val="1"/>
      <w:numFmt w:val="bullet"/>
      <w:lvlText w:val=""/>
      <w:lvlJc w:val="left"/>
      <w:pPr>
        <w:tabs>
          <w:tab w:val="num" w:pos="360"/>
        </w:tabs>
        <w:ind w:left="360" w:hanging="360"/>
      </w:pPr>
      <w:rPr>
        <w:rFonts w:ascii="Symbol" w:hAnsi="Symbol" w:hint="default"/>
      </w:rPr>
    </w:lvl>
    <w:lvl w:ilvl="1" w:tplc="99AE21BC" w:tentative="1">
      <w:start w:val="1"/>
      <w:numFmt w:val="bullet"/>
      <w:lvlText w:val=""/>
      <w:lvlJc w:val="left"/>
      <w:pPr>
        <w:tabs>
          <w:tab w:val="num" w:pos="1080"/>
        </w:tabs>
        <w:ind w:left="1080" w:hanging="360"/>
      </w:pPr>
      <w:rPr>
        <w:rFonts w:ascii="Symbol" w:hAnsi="Symbol" w:hint="default"/>
      </w:rPr>
    </w:lvl>
    <w:lvl w:ilvl="2" w:tplc="971A280A" w:tentative="1">
      <w:start w:val="1"/>
      <w:numFmt w:val="bullet"/>
      <w:lvlText w:val=""/>
      <w:lvlJc w:val="left"/>
      <w:pPr>
        <w:tabs>
          <w:tab w:val="num" w:pos="1800"/>
        </w:tabs>
        <w:ind w:left="1800" w:hanging="360"/>
      </w:pPr>
      <w:rPr>
        <w:rFonts w:ascii="Symbol" w:hAnsi="Symbol" w:hint="default"/>
      </w:rPr>
    </w:lvl>
    <w:lvl w:ilvl="3" w:tplc="82FEE03A" w:tentative="1">
      <w:start w:val="1"/>
      <w:numFmt w:val="bullet"/>
      <w:lvlText w:val=""/>
      <w:lvlJc w:val="left"/>
      <w:pPr>
        <w:tabs>
          <w:tab w:val="num" w:pos="2520"/>
        </w:tabs>
        <w:ind w:left="2520" w:hanging="360"/>
      </w:pPr>
      <w:rPr>
        <w:rFonts w:ascii="Symbol" w:hAnsi="Symbol" w:hint="default"/>
      </w:rPr>
    </w:lvl>
    <w:lvl w:ilvl="4" w:tplc="9482AFC0" w:tentative="1">
      <w:start w:val="1"/>
      <w:numFmt w:val="bullet"/>
      <w:lvlText w:val=""/>
      <w:lvlJc w:val="left"/>
      <w:pPr>
        <w:tabs>
          <w:tab w:val="num" w:pos="3240"/>
        </w:tabs>
        <w:ind w:left="3240" w:hanging="360"/>
      </w:pPr>
      <w:rPr>
        <w:rFonts w:ascii="Symbol" w:hAnsi="Symbol" w:hint="default"/>
      </w:rPr>
    </w:lvl>
    <w:lvl w:ilvl="5" w:tplc="D584E79E" w:tentative="1">
      <w:start w:val="1"/>
      <w:numFmt w:val="bullet"/>
      <w:lvlText w:val=""/>
      <w:lvlJc w:val="left"/>
      <w:pPr>
        <w:tabs>
          <w:tab w:val="num" w:pos="3960"/>
        </w:tabs>
        <w:ind w:left="3960" w:hanging="360"/>
      </w:pPr>
      <w:rPr>
        <w:rFonts w:ascii="Symbol" w:hAnsi="Symbol" w:hint="default"/>
      </w:rPr>
    </w:lvl>
    <w:lvl w:ilvl="6" w:tplc="3152729C" w:tentative="1">
      <w:start w:val="1"/>
      <w:numFmt w:val="bullet"/>
      <w:lvlText w:val=""/>
      <w:lvlJc w:val="left"/>
      <w:pPr>
        <w:tabs>
          <w:tab w:val="num" w:pos="4680"/>
        </w:tabs>
        <w:ind w:left="4680" w:hanging="360"/>
      </w:pPr>
      <w:rPr>
        <w:rFonts w:ascii="Symbol" w:hAnsi="Symbol" w:hint="default"/>
      </w:rPr>
    </w:lvl>
    <w:lvl w:ilvl="7" w:tplc="3C3C59A4" w:tentative="1">
      <w:start w:val="1"/>
      <w:numFmt w:val="bullet"/>
      <w:lvlText w:val=""/>
      <w:lvlJc w:val="left"/>
      <w:pPr>
        <w:tabs>
          <w:tab w:val="num" w:pos="5400"/>
        </w:tabs>
        <w:ind w:left="5400" w:hanging="360"/>
      </w:pPr>
      <w:rPr>
        <w:rFonts w:ascii="Symbol" w:hAnsi="Symbol" w:hint="default"/>
      </w:rPr>
    </w:lvl>
    <w:lvl w:ilvl="8" w:tplc="51FA4FAC"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16B4293B"/>
    <w:multiLevelType w:val="hybridMultilevel"/>
    <w:tmpl w:val="D632DD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D5F73"/>
    <w:multiLevelType w:val="hybridMultilevel"/>
    <w:tmpl w:val="A7BC8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1468EF"/>
    <w:multiLevelType w:val="hybridMultilevel"/>
    <w:tmpl w:val="1DC8D254"/>
    <w:lvl w:ilvl="0" w:tplc="F140DFC8">
      <w:start w:val="1"/>
      <w:numFmt w:val="bullet"/>
      <w:lvlText w:val=""/>
      <w:lvlJc w:val="left"/>
      <w:pPr>
        <w:ind w:left="357" w:firstLine="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034F42"/>
    <w:multiLevelType w:val="hybridMultilevel"/>
    <w:tmpl w:val="DBC49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5D052F"/>
    <w:multiLevelType w:val="hybridMultilevel"/>
    <w:tmpl w:val="F888395C"/>
    <w:lvl w:ilvl="0" w:tplc="CF84B2F2">
      <w:start w:val="1"/>
      <w:numFmt w:val="bullet"/>
      <w:lvlText w:val=""/>
      <w:lvlJc w:val="left"/>
      <w:pPr>
        <w:tabs>
          <w:tab w:val="num" w:pos="720"/>
        </w:tabs>
        <w:ind w:left="720" w:hanging="360"/>
      </w:pPr>
      <w:rPr>
        <w:rFonts w:ascii="Symbol" w:hAnsi="Symbol" w:hint="default"/>
      </w:rPr>
    </w:lvl>
    <w:lvl w:ilvl="1" w:tplc="8DA6BFAA" w:tentative="1">
      <w:start w:val="1"/>
      <w:numFmt w:val="bullet"/>
      <w:lvlText w:val=""/>
      <w:lvlJc w:val="left"/>
      <w:pPr>
        <w:tabs>
          <w:tab w:val="num" w:pos="1440"/>
        </w:tabs>
        <w:ind w:left="1440" w:hanging="360"/>
      </w:pPr>
      <w:rPr>
        <w:rFonts w:ascii="Symbol" w:hAnsi="Symbol" w:hint="default"/>
      </w:rPr>
    </w:lvl>
    <w:lvl w:ilvl="2" w:tplc="91CE2616" w:tentative="1">
      <w:start w:val="1"/>
      <w:numFmt w:val="bullet"/>
      <w:lvlText w:val=""/>
      <w:lvlJc w:val="left"/>
      <w:pPr>
        <w:tabs>
          <w:tab w:val="num" w:pos="2160"/>
        </w:tabs>
        <w:ind w:left="2160" w:hanging="360"/>
      </w:pPr>
      <w:rPr>
        <w:rFonts w:ascii="Symbol" w:hAnsi="Symbol" w:hint="default"/>
      </w:rPr>
    </w:lvl>
    <w:lvl w:ilvl="3" w:tplc="5C86FDAE" w:tentative="1">
      <w:start w:val="1"/>
      <w:numFmt w:val="bullet"/>
      <w:lvlText w:val=""/>
      <w:lvlJc w:val="left"/>
      <w:pPr>
        <w:tabs>
          <w:tab w:val="num" w:pos="2880"/>
        </w:tabs>
        <w:ind w:left="2880" w:hanging="360"/>
      </w:pPr>
      <w:rPr>
        <w:rFonts w:ascii="Symbol" w:hAnsi="Symbol" w:hint="default"/>
      </w:rPr>
    </w:lvl>
    <w:lvl w:ilvl="4" w:tplc="8F16C14A" w:tentative="1">
      <w:start w:val="1"/>
      <w:numFmt w:val="bullet"/>
      <w:lvlText w:val=""/>
      <w:lvlJc w:val="left"/>
      <w:pPr>
        <w:tabs>
          <w:tab w:val="num" w:pos="3600"/>
        </w:tabs>
        <w:ind w:left="3600" w:hanging="360"/>
      </w:pPr>
      <w:rPr>
        <w:rFonts w:ascii="Symbol" w:hAnsi="Symbol" w:hint="default"/>
      </w:rPr>
    </w:lvl>
    <w:lvl w:ilvl="5" w:tplc="ECC02DE8" w:tentative="1">
      <w:start w:val="1"/>
      <w:numFmt w:val="bullet"/>
      <w:lvlText w:val=""/>
      <w:lvlJc w:val="left"/>
      <w:pPr>
        <w:tabs>
          <w:tab w:val="num" w:pos="4320"/>
        </w:tabs>
        <w:ind w:left="4320" w:hanging="360"/>
      </w:pPr>
      <w:rPr>
        <w:rFonts w:ascii="Symbol" w:hAnsi="Symbol" w:hint="default"/>
      </w:rPr>
    </w:lvl>
    <w:lvl w:ilvl="6" w:tplc="6FF69C8C" w:tentative="1">
      <w:start w:val="1"/>
      <w:numFmt w:val="bullet"/>
      <w:lvlText w:val=""/>
      <w:lvlJc w:val="left"/>
      <w:pPr>
        <w:tabs>
          <w:tab w:val="num" w:pos="5040"/>
        </w:tabs>
        <w:ind w:left="5040" w:hanging="360"/>
      </w:pPr>
      <w:rPr>
        <w:rFonts w:ascii="Symbol" w:hAnsi="Symbol" w:hint="default"/>
      </w:rPr>
    </w:lvl>
    <w:lvl w:ilvl="7" w:tplc="4C9C89F8" w:tentative="1">
      <w:start w:val="1"/>
      <w:numFmt w:val="bullet"/>
      <w:lvlText w:val=""/>
      <w:lvlJc w:val="left"/>
      <w:pPr>
        <w:tabs>
          <w:tab w:val="num" w:pos="5760"/>
        </w:tabs>
        <w:ind w:left="5760" w:hanging="360"/>
      </w:pPr>
      <w:rPr>
        <w:rFonts w:ascii="Symbol" w:hAnsi="Symbol" w:hint="default"/>
      </w:rPr>
    </w:lvl>
    <w:lvl w:ilvl="8" w:tplc="6E3ED75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0104AC1"/>
    <w:multiLevelType w:val="hybridMultilevel"/>
    <w:tmpl w:val="26F4C57A"/>
    <w:lvl w:ilvl="0" w:tplc="8EC823D0">
      <w:start w:val="1"/>
      <w:numFmt w:val="bullet"/>
      <w:lvlText w:val=""/>
      <w:lvlJc w:val="left"/>
      <w:pPr>
        <w:tabs>
          <w:tab w:val="num" w:pos="720"/>
        </w:tabs>
        <w:ind w:left="720" w:hanging="360"/>
      </w:pPr>
      <w:rPr>
        <w:rFonts w:ascii="Symbol" w:hAnsi="Symbol" w:hint="default"/>
      </w:rPr>
    </w:lvl>
    <w:lvl w:ilvl="1" w:tplc="26005A9E" w:tentative="1">
      <w:start w:val="1"/>
      <w:numFmt w:val="bullet"/>
      <w:lvlText w:val=""/>
      <w:lvlJc w:val="left"/>
      <w:pPr>
        <w:tabs>
          <w:tab w:val="num" w:pos="1440"/>
        </w:tabs>
        <w:ind w:left="1440" w:hanging="360"/>
      </w:pPr>
      <w:rPr>
        <w:rFonts w:ascii="Symbol" w:hAnsi="Symbol" w:hint="default"/>
      </w:rPr>
    </w:lvl>
    <w:lvl w:ilvl="2" w:tplc="E390891C" w:tentative="1">
      <w:start w:val="1"/>
      <w:numFmt w:val="bullet"/>
      <w:lvlText w:val=""/>
      <w:lvlJc w:val="left"/>
      <w:pPr>
        <w:tabs>
          <w:tab w:val="num" w:pos="2160"/>
        </w:tabs>
        <w:ind w:left="2160" w:hanging="360"/>
      </w:pPr>
      <w:rPr>
        <w:rFonts w:ascii="Symbol" w:hAnsi="Symbol" w:hint="default"/>
      </w:rPr>
    </w:lvl>
    <w:lvl w:ilvl="3" w:tplc="8B9C8B4C" w:tentative="1">
      <w:start w:val="1"/>
      <w:numFmt w:val="bullet"/>
      <w:lvlText w:val=""/>
      <w:lvlJc w:val="left"/>
      <w:pPr>
        <w:tabs>
          <w:tab w:val="num" w:pos="2880"/>
        </w:tabs>
        <w:ind w:left="2880" w:hanging="360"/>
      </w:pPr>
      <w:rPr>
        <w:rFonts w:ascii="Symbol" w:hAnsi="Symbol" w:hint="default"/>
      </w:rPr>
    </w:lvl>
    <w:lvl w:ilvl="4" w:tplc="44DE82E6" w:tentative="1">
      <w:start w:val="1"/>
      <w:numFmt w:val="bullet"/>
      <w:lvlText w:val=""/>
      <w:lvlJc w:val="left"/>
      <w:pPr>
        <w:tabs>
          <w:tab w:val="num" w:pos="3600"/>
        </w:tabs>
        <w:ind w:left="3600" w:hanging="360"/>
      </w:pPr>
      <w:rPr>
        <w:rFonts w:ascii="Symbol" w:hAnsi="Symbol" w:hint="default"/>
      </w:rPr>
    </w:lvl>
    <w:lvl w:ilvl="5" w:tplc="3F7246DE" w:tentative="1">
      <w:start w:val="1"/>
      <w:numFmt w:val="bullet"/>
      <w:lvlText w:val=""/>
      <w:lvlJc w:val="left"/>
      <w:pPr>
        <w:tabs>
          <w:tab w:val="num" w:pos="4320"/>
        </w:tabs>
        <w:ind w:left="4320" w:hanging="360"/>
      </w:pPr>
      <w:rPr>
        <w:rFonts w:ascii="Symbol" w:hAnsi="Symbol" w:hint="default"/>
      </w:rPr>
    </w:lvl>
    <w:lvl w:ilvl="6" w:tplc="1360C14C" w:tentative="1">
      <w:start w:val="1"/>
      <w:numFmt w:val="bullet"/>
      <w:lvlText w:val=""/>
      <w:lvlJc w:val="left"/>
      <w:pPr>
        <w:tabs>
          <w:tab w:val="num" w:pos="5040"/>
        </w:tabs>
        <w:ind w:left="5040" w:hanging="360"/>
      </w:pPr>
      <w:rPr>
        <w:rFonts w:ascii="Symbol" w:hAnsi="Symbol" w:hint="default"/>
      </w:rPr>
    </w:lvl>
    <w:lvl w:ilvl="7" w:tplc="1F44FD56" w:tentative="1">
      <w:start w:val="1"/>
      <w:numFmt w:val="bullet"/>
      <w:lvlText w:val=""/>
      <w:lvlJc w:val="left"/>
      <w:pPr>
        <w:tabs>
          <w:tab w:val="num" w:pos="5760"/>
        </w:tabs>
        <w:ind w:left="5760" w:hanging="360"/>
      </w:pPr>
      <w:rPr>
        <w:rFonts w:ascii="Symbol" w:hAnsi="Symbol" w:hint="default"/>
      </w:rPr>
    </w:lvl>
    <w:lvl w:ilvl="8" w:tplc="87B47F3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21C32B9"/>
    <w:multiLevelType w:val="hybridMultilevel"/>
    <w:tmpl w:val="1FDCC65E"/>
    <w:lvl w:ilvl="0" w:tplc="8A0A44AC">
      <w:start w:val="1"/>
      <w:numFmt w:val="bullet"/>
      <w:lvlText w:val=""/>
      <w:lvlJc w:val="left"/>
      <w:pPr>
        <w:tabs>
          <w:tab w:val="num" w:pos="360"/>
        </w:tabs>
        <w:ind w:left="360" w:hanging="360"/>
      </w:pPr>
      <w:rPr>
        <w:rFonts w:ascii="Symbol" w:hAnsi="Symbol" w:hint="default"/>
      </w:rPr>
    </w:lvl>
    <w:lvl w:ilvl="1" w:tplc="02D4E3D6" w:tentative="1">
      <w:start w:val="1"/>
      <w:numFmt w:val="bullet"/>
      <w:lvlText w:val=""/>
      <w:lvlJc w:val="left"/>
      <w:pPr>
        <w:tabs>
          <w:tab w:val="num" w:pos="1080"/>
        </w:tabs>
        <w:ind w:left="1080" w:hanging="360"/>
      </w:pPr>
      <w:rPr>
        <w:rFonts w:ascii="Symbol" w:hAnsi="Symbol" w:hint="default"/>
      </w:rPr>
    </w:lvl>
    <w:lvl w:ilvl="2" w:tplc="1F7083FC" w:tentative="1">
      <w:start w:val="1"/>
      <w:numFmt w:val="bullet"/>
      <w:lvlText w:val=""/>
      <w:lvlJc w:val="left"/>
      <w:pPr>
        <w:tabs>
          <w:tab w:val="num" w:pos="1800"/>
        </w:tabs>
        <w:ind w:left="1800" w:hanging="360"/>
      </w:pPr>
      <w:rPr>
        <w:rFonts w:ascii="Symbol" w:hAnsi="Symbol" w:hint="default"/>
      </w:rPr>
    </w:lvl>
    <w:lvl w:ilvl="3" w:tplc="DA84BD6C" w:tentative="1">
      <w:start w:val="1"/>
      <w:numFmt w:val="bullet"/>
      <w:lvlText w:val=""/>
      <w:lvlJc w:val="left"/>
      <w:pPr>
        <w:tabs>
          <w:tab w:val="num" w:pos="2520"/>
        </w:tabs>
        <w:ind w:left="2520" w:hanging="360"/>
      </w:pPr>
      <w:rPr>
        <w:rFonts w:ascii="Symbol" w:hAnsi="Symbol" w:hint="default"/>
      </w:rPr>
    </w:lvl>
    <w:lvl w:ilvl="4" w:tplc="5CBC185E" w:tentative="1">
      <w:start w:val="1"/>
      <w:numFmt w:val="bullet"/>
      <w:lvlText w:val=""/>
      <w:lvlJc w:val="left"/>
      <w:pPr>
        <w:tabs>
          <w:tab w:val="num" w:pos="3240"/>
        </w:tabs>
        <w:ind w:left="3240" w:hanging="360"/>
      </w:pPr>
      <w:rPr>
        <w:rFonts w:ascii="Symbol" w:hAnsi="Symbol" w:hint="default"/>
      </w:rPr>
    </w:lvl>
    <w:lvl w:ilvl="5" w:tplc="578C2372" w:tentative="1">
      <w:start w:val="1"/>
      <w:numFmt w:val="bullet"/>
      <w:lvlText w:val=""/>
      <w:lvlJc w:val="left"/>
      <w:pPr>
        <w:tabs>
          <w:tab w:val="num" w:pos="3960"/>
        </w:tabs>
        <w:ind w:left="3960" w:hanging="360"/>
      </w:pPr>
      <w:rPr>
        <w:rFonts w:ascii="Symbol" w:hAnsi="Symbol" w:hint="default"/>
      </w:rPr>
    </w:lvl>
    <w:lvl w:ilvl="6" w:tplc="1C0C3F2E" w:tentative="1">
      <w:start w:val="1"/>
      <w:numFmt w:val="bullet"/>
      <w:lvlText w:val=""/>
      <w:lvlJc w:val="left"/>
      <w:pPr>
        <w:tabs>
          <w:tab w:val="num" w:pos="4680"/>
        </w:tabs>
        <w:ind w:left="4680" w:hanging="360"/>
      </w:pPr>
      <w:rPr>
        <w:rFonts w:ascii="Symbol" w:hAnsi="Symbol" w:hint="default"/>
      </w:rPr>
    </w:lvl>
    <w:lvl w:ilvl="7" w:tplc="324A97C4" w:tentative="1">
      <w:start w:val="1"/>
      <w:numFmt w:val="bullet"/>
      <w:lvlText w:val=""/>
      <w:lvlJc w:val="left"/>
      <w:pPr>
        <w:tabs>
          <w:tab w:val="num" w:pos="5400"/>
        </w:tabs>
        <w:ind w:left="5400" w:hanging="360"/>
      </w:pPr>
      <w:rPr>
        <w:rFonts w:ascii="Symbol" w:hAnsi="Symbol" w:hint="default"/>
      </w:rPr>
    </w:lvl>
    <w:lvl w:ilvl="8" w:tplc="C5D4C88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3756E7C"/>
    <w:multiLevelType w:val="hybridMultilevel"/>
    <w:tmpl w:val="CA54A1BC"/>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265E0F54"/>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68E5419"/>
    <w:multiLevelType w:val="hybridMultilevel"/>
    <w:tmpl w:val="F378EE7C"/>
    <w:lvl w:ilvl="0" w:tplc="B0C859DE">
      <w:start w:val="1"/>
      <w:numFmt w:val="bullet"/>
      <w:lvlText w:val=""/>
      <w:lvlJc w:val="left"/>
      <w:pPr>
        <w:tabs>
          <w:tab w:val="num" w:pos="720"/>
        </w:tabs>
        <w:ind w:left="720" w:hanging="360"/>
      </w:pPr>
      <w:rPr>
        <w:rFonts w:ascii="Symbol" w:hAnsi="Symbol" w:hint="default"/>
      </w:rPr>
    </w:lvl>
    <w:lvl w:ilvl="1" w:tplc="F8E4DD2C" w:tentative="1">
      <w:start w:val="1"/>
      <w:numFmt w:val="bullet"/>
      <w:lvlText w:val=""/>
      <w:lvlJc w:val="left"/>
      <w:pPr>
        <w:tabs>
          <w:tab w:val="num" w:pos="1440"/>
        </w:tabs>
        <w:ind w:left="1440" w:hanging="360"/>
      </w:pPr>
      <w:rPr>
        <w:rFonts w:ascii="Symbol" w:hAnsi="Symbol" w:hint="default"/>
      </w:rPr>
    </w:lvl>
    <w:lvl w:ilvl="2" w:tplc="81D43566" w:tentative="1">
      <w:start w:val="1"/>
      <w:numFmt w:val="bullet"/>
      <w:lvlText w:val=""/>
      <w:lvlJc w:val="left"/>
      <w:pPr>
        <w:tabs>
          <w:tab w:val="num" w:pos="2160"/>
        </w:tabs>
        <w:ind w:left="2160" w:hanging="360"/>
      </w:pPr>
      <w:rPr>
        <w:rFonts w:ascii="Symbol" w:hAnsi="Symbol" w:hint="default"/>
      </w:rPr>
    </w:lvl>
    <w:lvl w:ilvl="3" w:tplc="0C28CBA0" w:tentative="1">
      <w:start w:val="1"/>
      <w:numFmt w:val="bullet"/>
      <w:lvlText w:val=""/>
      <w:lvlJc w:val="left"/>
      <w:pPr>
        <w:tabs>
          <w:tab w:val="num" w:pos="2880"/>
        </w:tabs>
        <w:ind w:left="2880" w:hanging="360"/>
      </w:pPr>
      <w:rPr>
        <w:rFonts w:ascii="Symbol" w:hAnsi="Symbol" w:hint="default"/>
      </w:rPr>
    </w:lvl>
    <w:lvl w:ilvl="4" w:tplc="6FFA379C" w:tentative="1">
      <w:start w:val="1"/>
      <w:numFmt w:val="bullet"/>
      <w:lvlText w:val=""/>
      <w:lvlJc w:val="left"/>
      <w:pPr>
        <w:tabs>
          <w:tab w:val="num" w:pos="3600"/>
        </w:tabs>
        <w:ind w:left="3600" w:hanging="360"/>
      </w:pPr>
      <w:rPr>
        <w:rFonts w:ascii="Symbol" w:hAnsi="Symbol" w:hint="default"/>
      </w:rPr>
    </w:lvl>
    <w:lvl w:ilvl="5" w:tplc="BE70750E" w:tentative="1">
      <w:start w:val="1"/>
      <w:numFmt w:val="bullet"/>
      <w:lvlText w:val=""/>
      <w:lvlJc w:val="left"/>
      <w:pPr>
        <w:tabs>
          <w:tab w:val="num" w:pos="4320"/>
        </w:tabs>
        <w:ind w:left="4320" w:hanging="360"/>
      </w:pPr>
      <w:rPr>
        <w:rFonts w:ascii="Symbol" w:hAnsi="Symbol" w:hint="default"/>
      </w:rPr>
    </w:lvl>
    <w:lvl w:ilvl="6" w:tplc="18D89394" w:tentative="1">
      <w:start w:val="1"/>
      <w:numFmt w:val="bullet"/>
      <w:lvlText w:val=""/>
      <w:lvlJc w:val="left"/>
      <w:pPr>
        <w:tabs>
          <w:tab w:val="num" w:pos="5040"/>
        </w:tabs>
        <w:ind w:left="5040" w:hanging="360"/>
      </w:pPr>
      <w:rPr>
        <w:rFonts w:ascii="Symbol" w:hAnsi="Symbol" w:hint="default"/>
      </w:rPr>
    </w:lvl>
    <w:lvl w:ilvl="7" w:tplc="350A3C02" w:tentative="1">
      <w:start w:val="1"/>
      <w:numFmt w:val="bullet"/>
      <w:lvlText w:val=""/>
      <w:lvlJc w:val="left"/>
      <w:pPr>
        <w:tabs>
          <w:tab w:val="num" w:pos="5760"/>
        </w:tabs>
        <w:ind w:left="5760" w:hanging="360"/>
      </w:pPr>
      <w:rPr>
        <w:rFonts w:ascii="Symbol" w:hAnsi="Symbol" w:hint="default"/>
      </w:rPr>
    </w:lvl>
    <w:lvl w:ilvl="8" w:tplc="80EEB3D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FC3386"/>
    <w:multiLevelType w:val="hybridMultilevel"/>
    <w:tmpl w:val="BC9AE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F21F32"/>
    <w:multiLevelType w:val="hybridMultilevel"/>
    <w:tmpl w:val="D528213A"/>
    <w:lvl w:ilvl="0" w:tplc="0002A1B0">
      <w:start w:val="1"/>
      <w:numFmt w:val="bullet"/>
      <w:lvlText w:val=""/>
      <w:lvlJc w:val="left"/>
      <w:pPr>
        <w:tabs>
          <w:tab w:val="num" w:pos="360"/>
        </w:tabs>
        <w:ind w:left="360" w:hanging="360"/>
      </w:pPr>
      <w:rPr>
        <w:rFonts w:ascii="Symbol" w:hAnsi="Symbol" w:hint="default"/>
      </w:rPr>
    </w:lvl>
    <w:lvl w:ilvl="1" w:tplc="787A5B6C" w:tentative="1">
      <w:start w:val="1"/>
      <w:numFmt w:val="bullet"/>
      <w:lvlText w:val=""/>
      <w:lvlJc w:val="left"/>
      <w:pPr>
        <w:tabs>
          <w:tab w:val="num" w:pos="1080"/>
        </w:tabs>
        <w:ind w:left="1080" w:hanging="360"/>
      </w:pPr>
      <w:rPr>
        <w:rFonts w:ascii="Symbol" w:hAnsi="Symbol" w:hint="default"/>
      </w:rPr>
    </w:lvl>
    <w:lvl w:ilvl="2" w:tplc="A7784406" w:tentative="1">
      <w:start w:val="1"/>
      <w:numFmt w:val="bullet"/>
      <w:lvlText w:val=""/>
      <w:lvlJc w:val="left"/>
      <w:pPr>
        <w:tabs>
          <w:tab w:val="num" w:pos="1800"/>
        </w:tabs>
        <w:ind w:left="1800" w:hanging="360"/>
      </w:pPr>
      <w:rPr>
        <w:rFonts w:ascii="Symbol" w:hAnsi="Symbol" w:hint="default"/>
      </w:rPr>
    </w:lvl>
    <w:lvl w:ilvl="3" w:tplc="0214F74E" w:tentative="1">
      <w:start w:val="1"/>
      <w:numFmt w:val="bullet"/>
      <w:lvlText w:val=""/>
      <w:lvlJc w:val="left"/>
      <w:pPr>
        <w:tabs>
          <w:tab w:val="num" w:pos="2520"/>
        </w:tabs>
        <w:ind w:left="2520" w:hanging="360"/>
      </w:pPr>
      <w:rPr>
        <w:rFonts w:ascii="Symbol" w:hAnsi="Symbol" w:hint="default"/>
      </w:rPr>
    </w:lvl>
    <w:lvl w:ilvl="4" w:tplc="2318A91A" w:tentative="1">
      <w:start w:val="1"/>
      <w:numFmt w:val="bullet"/>
      <w:lvlText w:val=""/>
      <w:lvlJc w:val="left"/>
      <w:pPr>
        <w:tabs>
          <w:tab w:val="num" w:pos="3240"/>
        </w:tabs>
        <w:ind w:left="3240" w:hanging="360"/>
      </w:pPr>
      <w:rPr>
        <w:rFonts w:ascii="Symbol" w:hAnsi="Symbol" w:hint="default"/>
      </w:rPr>
    </w:lvl>
    <w:lvl w:ilvl="5" w:tplc="B9CA220A" w:tentative="1">
      <w:start w:val="1"/>
      <w:numFmt w:val="bullet"/>
      <w:lvlText w:val=""/>
      <w:lvlJc w:val="left"/>
      <w:pPr>
        <w:tabs>
          <w:tab w:val="num" w:pos="3960"/>
        </w:tabs>
        <w:ind w:left="3960" w:hanging="360"/>
      </w:pPr>
      <w:rPr>
        <w:rFonts w:ascii="Symbol" w:hAnsi="Symbol" w:hint="default"/>
      </w:rPr>
    </w:lvl>
    <w:lvl w:ilvl="6" w:tplc="617C4FA4" w:tentative="1">
      <w:start w:val="1"/>
      <w:numFmt w:val="bullet"/>
      <w:lvlText w:val=""/>
      <w:lvlJc w:val="left"/>
      <w:pPr>
        <w:tabs>
          <w:tab w:val="num" w:pos="4680"/>
        </w:tabs>
        <w:ind w:left="4680" w:hanging="360"/>
      </w:pPr>
      <w:rPr>
        <w:rFonts w:ascii="Symbol" w:hAnsi="Symbol" w:hint="default"/>
      </w:rPr>
    </w:lvl>
    <w:lvl w:ilvl="7" w:tplc="94D05E30" w:tentative="1">
      <w:start w:val="1"/>
      <w:numFmt w:val="bullet"/>
      <w:lvlText w:val=""/>
      <w:lvlJc w:val="left"/>
      <w:pPr>
        <w:tabs>
          <w:tab w:val="num" w:pos="5400"/>
        </w:tabs>
        <w:ind w:left="5400" w:hanging="360"/>
      </w:pPr>
      <w:rPr>
        <w:rFonts w:ascii="Symbol" w:hAnsi="Symbol" w:hint="default"/>
      </w:rPr>
    </w:lvl>
    <w:lvl w:ilvl="8" w:tplc="BCDA77E4"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38845F2C"/>
    <w:multiLevelType w:val="hybridMultilevel"/>
    <w:tmpl w:val="4C68A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D53ACF"/>
    <w:multiLevelType w:val="hybridMultilevel"/>
    <w:tmpl w:val="AB22B5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7B7C04"/>
    <w:multiLevelType w:val="hybridMultilevel"/>
    <w:tmpl w:val="C5525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E7418"/>
    <w:multiLevelType w:val="hybridMultilevel"/>
    <w:tmpl w:val="E8CC7614"/>
    <w:lvl w:ilvl="0" w:tplc="DB667AA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BA7745"/>
    <w:multiLevelType w:val="hybridMultilevel"/>
    <w:tmpl w:val="E82214AC"/>
    <w:lvl w:ilvl="0" w:tplc="555C3DC4">
      <w:start w:val="1"/>
      <w:numFmt w:val="bullet"/>
      <w:lvlText w:val=""/>
      <w:lvlJc w:val="left"/>
      <w:pPr>
        <w:tabs>
          <w:tab w:val="num" w:pos="360"/>
        </w:tabs>
        <w:ind w:left="360" w:hanging="360"/>
      </w:pPr>
      <w:rPr>
        <w:rFonts w:ascii="Symbol" w:hAnsi="Symbol" w:hint="default"/>
      </w:rPr>
    </w:lvl>
    <w:lvl w:ilvl="1" w:tplc="FF0647AA" w:tentative="1">
      <w:start w:val="1"/>
      <w:numFmt w:val="bullet"/>
      <w:lvlText w:val=""/>
      <w:lvlJc w:val="left"/>
      <w:pPr>
        <w:tabs>
          <w:tab w:val="num" w:pos="1080"/>
        </w:tabs>
        <w:ind w:left="1080" w:hanging="360"/>
      </w:pPr>
      <w:rPr>
        <w:rFonts w:ascii="Symbol" w:hAnsi="Symbol" w:hint="default"/>
      </w:rPr>
    </w:lvl>
    <w:lvl w:ilvl="2" w:tplc="BFDE4FBC" w:tentative="1">
      <w:start w:val="1"/>
      <w:numFmt w:val="bullet"/>
      <w:lvlText w:val=""/>
      <w:lvlJc w:val="left"/>
      <w:pPr>
        <w:tabs>
          <w:tab w:val="num" w:pos="1800"/>
        </w:tabs>
        <w:ind w:left="1800" w:hanging="360"/>
      </w:pPr>
      <w:rPr>
        <w:rFonts w:ascii="Symbol" w:hAnsi="Symbol" w:hint="default"/>
      </w:rPr>
    </w:lvl>
    <w:lvl w:ilvl="3" w:tplc="2EE09BA0" w:tentative="1">
      <w:start w:val="1"/>
      <w:numFmt w:val="bullet"/>
      <w:lvlText w:val=""/>
      <w:lvlJc w:val="left"/>
      <w:pPr>
        <w:tabs>
          <w:tab w:val="num" w:pos="2520"/>
        </w:tabs>
        <w:ind w:left="2520" w:hanging="360"/>
      </w:pPr>
      <w:rPr>
        <w:rFonts w:ascii="Symbol" w:hAnsi="Symbol" w:hint="default"/>
      </w:rPr>
    </w:lvl>
    <w:lvl w:ilvl="4" w:tplc="DC58B40C" w:tentative="1">
      <w:start w:val="1"/>
      <w:numFmt w:val="bullet"/>
      <w:lvlText w:val=""/>
      <w:lvlJc w:val="left"/>
      <w:pPr>
        <w:tabs>
          <w:tab w:val="num" w:pos="3240"/>
        </w:tabs>
        <w:ind w:left="3240" w:hanging="360"/>
      </w:pPr>
      <w:rPr>
        <w:rFonts w:ascii="Symbol" w:hAnsi="Symbol" w:hint="default"/>
      </w:rPr>
    </w:lvl>
    <w:lvl w:ilvl="5" w:tplc="A19416AA" w:tentative="1">
      <w:start w:val="1"/>
      <w:numFmt w:val="bullet"/>
      <w:lvlText w:val=""/>
      <w:lvlJc w:val="left"/>
      <w:pPr>
        <w:tabs>
          <w:tab w:val="num" w:pos="3960"/>
        </w:tabs>
        <w:ind w:left="3960" w:hanging="360"/>
      </w:pPr>
      <w:rPr>
        <w:rFonts w:ascii="Symbol" w:hAnsi="Symbol" w:hint="default"/>
      </w:rPr>
    </w:lvl>
    <w:lvl w:ilvl="6" w:tplc="EAEC1538" w:tentative="1">
      <w:start w:val="1"/>
      <w:numFmt w:val="bullet"/>
      <w:lvlText w:val=""/>
      <w:lvlJc w:val="left"/>
      <w:pPr>
        <w:tabs>
          <w:tab w:val="num" w:pos="4680"/>
        </w:tabs>
        <w:ind w:left="4680" w:hanging="360"/>
      </w:pPr>
      <w:rPr>
        <w:rFonts w:ascii="Symbol" w:hAnsi="Symbol" w:hint="default"/>
      </w:rPr>
    </w:lvl>
    <w:lvl w:ilvl="7" w:tplc="447EECE8" w:tentative="1">
      <w:start w:val="1"/>
      <w:numFmt w:val="bullet"/>
      <w:lvlText w:val=""/>
      <w:lvlJc w:val="left"/>
      <w:pPr>
        <w:tabs>
          <w:tab w:val="num" w:pos="5400"/>
        </w:tabs>
        <w:ind w:left="5400" w:hanging="360"/>
      </w:pPr>
      <w:rPr>
        <w:rFonts w:ascii="Symbol" w:hAnsi="Symbol" w:hint="default"/>
      </w:rPr>
    </w:lvl>
    <w:lvl w:ilvl="8" w:tplc="3648B94C"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4A985E3A"/>
    <w:multiLevelType w:val="hybridMultilevel"/>
    <w:tmpl w:val="EE78E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D045041"/>
    <w:multiLevelType w:val="hybridMultilevel"/>
    <w:tmpl w:val="39025A70"/>
    <w:lvl w:ilvl="0" w:tplc="F5DC90D0">
      <w:start w:val="1"/>
      <w:numFmt w:val="bullet"/>
      <w:lvlText w:val=""/>
      <w:lvlJc w:val="left"/>
      <w:pPr>
        <w:tabs>
          <w:tab w:val="num" w:pos="720"/>
        </w:tabs>
        <w:ind w:left="720" w:hanging="360"/>
      </w:pPr>
      <w:rPr>
        <w:rFonts w:ascii="Symbol" w:hAnsi="Symbol" w:hint="default"/>
      </w:rPr>
    </w:lvl>
    <w:lvl w:ilvl="1" w:tplc="1C2C4B54" w:tentative="1">
      <w:start w:val="1"/>
      <w:numFmt w:val="bullet"/>
      <w:lvlText w:val=""/>
      <w:lvlJc w:val="left"/>
      <w:pPr>
        <w:tabs>
          <w:tab w:val="num" w:pos="1440"/>
        </w:tabs>
        <w:ind w:left="1440" w:hanging="360"/>
      </w:pPr>
      <w:rPr>
        <w:rFonts w:ascii="Symbol" w:hAnsi="Symbol" w:hint="default"/>
      </w:rPr>
    </w:lvl>
    <w:lvl w:ilvl="2" w:tplc="6EA8C358" w:tentative="1">
      <w:start w:val="1"/>
      <w:numFmt w:val="bullet"/>
      <w:lvlText w:val=""/>
      <w:lvlJc w:val="left"/>
      <w:pPr>
        <w:tabs>
          <w:tab w:val="num" w:pos="2160"/>
        </w:tabs>
        <w:ind w:left="2160" w:hanging="360"/>
      </w:pPr>
      <w:rPr>
        <w:rFonts w:ascii="Symbol" w:hAnsi="Symbol" w:hint="default"/>
      </w:rPr>
    </w:lvl>
    <w:lvl w:ilvl="3" w:tplc="B282C9C4" w:tentative="1">
      <w:start w:val="1"/>
      <w:numFmt w:val="bullet"/>
      <w:lvlText w:val=""/>
      <w:lvlJc w:val="left"/>
      <w:pPr>
        <w:tabs>
          <w:tab w:val="num" w:pos="2880"/>
        </w:tabs>
        <w:ind w:left="2880" w:hanging="360"/>
      </w:pPr>
      <w:rPr>
        <w:rFonts w:ascii="Symbol" w:hAnsi="Symbol" w:hint="default"/>
      </w:rPr>
    </w:lvl>
    <w:lvl w:ilvl="4" w:tplc="0AD61302" w:tentative="1">
      <w:start w:val="1"/>
      <w:numFmt w:val="bullet"/>
      <w:lvlText w:val=""/>
      <w:lvlJc w:val="left"/>
      <w:pPr>
        <w:tabs>
          <w:tab w:val="num" w:pos="3600"/>
        </w:tabs>
        <w:ind w:left="3600" w:hanging="360"/>
      </w:pPr>
      <w:rPr>
        <w:rFonts w:ascii="Symbol" w:hAnsi="Symbol" w:hint="default"/>
      </w:rPr>
    </w:lvl>
    <w:lvl w:ilvl="5" w:tplc="9F8C4172" w:tentative="1">
      <w:start w:val="1"/>
      <w:numFmt w:val="bullet"/>
      <w:lvlText w:val=""/>
      <w:lvlJc w:val="left"/>
      <w:pPr>
        <w:tabs>
          <w:tab w:val="num" w:pos="4320"/>
        </w:tabs>
        <w:ind w:left="4320" w:hanging="360"/>
      </w:pPr>
      <w:rPr>
        <w:rFonts w:ascii="Symbol" w:hAnsi="Symbol" w:hint="default"/>
      </w:rPr>
    </w:lvl>
    <w:lvl w:ilvl="6" w:tplc="2F8EA16C" w:tentative="1">
      <w:start w:val="1"/>
      <w:numFmt w:val="bullet"/>
      <w:lvlText w:val=""/>
      <w:lvlJc w:val="left"/>
      <w:pPr>
        <w:tabs>
          <w:tab w:val="num" w:pos="5040"/>
        </w:tabs>
        <w:ind w:left="5040" w:hanging="360"/>
      </w:pPr>
      <w:rPr>
        <w:rFonts w:ascii="Symbol" w:hAnsi="Symbol" w:hint="default"/>
      </w:rPr>
    </w:lvl>
    <w:lvl w:ilvl="7" w:tplc="563E223C" w:tentative="1">
      <w:start w:val="1"/>
      <w:numFmt w:val="bullet"/>
      <w:lvlText w:val=""/>
      <w:lvlJc w:val="left"/>
      <w:pPr>
        <w:tabs>
          <w:tab w:val="num" w:pos="5760"/>
        </w:tabs>
        <w:ind w:left="5760" w:hanging="360"/>
      </w:pPr>
      <w:rPr>
        <w:rFonts w:ascii="Symbol" w:hAnsi="Symbol" w:hint="default"/>
      </w:rPr>
    </w:lvl>
    <w:lvl w:ilvl="8" w:tplc="DB086FD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04708DA"/>
    <w:multiLevelType w:val="hybridMultilevel"/>
    <w:tmpl w:val="A8881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D84B82"/>
    <w:multiLevelType w:val="hybridMultilevel"/>
    <w:tmpl w:val="062C2068"/>
    <w:lvl w:ilvl="0" w:tplc="7934623A">
      <w:start w:val="1"/>
      <w:numFmt w:val="bullet"/>
      <w:lvlText w:val=""/>
      <w:lvlJc w:val="left"/>
      <w:pPr>
        <w:tabs>
          <w:tab w:val="num" w:pos="720"/>
        </w:tabs>
        <w:ind w:left="720" w:hanging="360"/>
      </w:pPr>
      <w:rPr>
        <w:rFonts w:ascii="Symbol" w:hAnsi="Symbol" w:hint="default"/>
      </w:rPr>
    </w:lvl>
    <w:lvl w:ilvl="1" w:tplc="E68040CC" w:tentative="1">
      <w:start w:val="1"/>
      <w:numFmt w:val="bullet"/>
      <w:lvlText w:val=""/>
      <w:lvlJc w:val="left"/>
      <w:pPr>
        <w:tabs>
          <w:tab w:val="num" w:pos="1440"/>
        </w:tabs>
        <w:ind w:left="1440" w:hanging="360"/>
      </w:pPr>
      <w:rPr>
        <w:rFonts w:ascii="Symbol" w:hAnsi="Symbol" w:hint="default"/>
      </w:rPr>
    </w:lvl>
    <w:lvl w:ilvl="2" w:tplc="2A50AD70" w:tentative="1">
      <w:start w:val="1"/>
      <w:numFmt w:val="bullet"/>
      <w:lvlText w:val=""/>
      <w:lvlJc w:val="left"/>
      <w:pPr>
        <w:tabs>
          <w:tab w:val="num" w:pos="2160"/>
        </w:tabs>
        <w:ind w:left="2160" w:hanging="360"/>
      </w:pPr>
      <w:rPr>
        <w:rFonts w:ascii="Symbol" w:hAnsi="Symbol" w:hint="default"/>
      </w:rPr>
    </w:lvl>
    <w:lvl w:ilvl="3" w:tplc="1B18E14A" w:tentative="1">
      <w:start w:val="1"/>
      <w:numFmt w:val="bullet"/>
      <w:lvlText w:val=""/>
      <w:lvlJc w:val="left"/>
      <w:pPr>
        <w:tabs>
          <w:tab w:val="num" w:pos="2880"/>
        </w:tabs>
        <w:ind w:left="2880" w:hanging="360"/>
      </w:pPr>
      <w:rPr>
        <w:rFonts w:ascii="Symbol" w:hAnsi="Symbol" w:hint="default"/>
      </w:rPr>
    </w:lvl>
    <w:lvl w:ilvl="4" w:tplc="4EACB240" w:tentative="1">
      <w:start w:val="1"/>
      <w:numFmt w:val="bullet"/>
      <w:lvlText w:val=""/>
      <w:lvlJc w:val="left"/>
      <w:pPr>
        <w:tabs>
          <w:tab w:val="num" w:pos="3600"/>
        </w:tabs>
        <w:ind w:left="3600" w:hanging="360"/>
      </w:pPr>
      <w:rPr>
        <w:rFonts w:ascii="Symbol" w:hAnsi="Symbol" w:hint="default"/>
      </w:rPr>
    </w:lvl>
    <w:lvl w:ilvl="5" w:tplc="EB34E1F2" w:tentative="1">
      <w:start w:val="1"/>
      <w:numFmt w:val="bullet"/>
      <w:lvlText w:val=""/>
      <w:lvlJc w:val="left"/>
      <w:pPr>
        <w:tabs>
          <w:tab w:val="num" w:pos="4320"/>
        </w:tabs>
        <w:ind w:left="4320" w:hanging="360"/>
      </w:pPr>
      <w:rPr>
        <w:rFonts w:ascii="Symbol" w:hAnsi="Symbol" w:hint="default"/>
      </w:rPr>
    </w:lvl>
    <w:lvl w:ilvl="6" w:tplc="86060DC4" w:tentative="1">
      <w:start w:val="1"/>
      <w:numFmt w:val="bullet"/>
      <w:lvlText w:val=""/>
      <w:lvlJc w:val="left"/>
      <w:pPr>
        <w:tabs>
          <w:tab w:val="num" w:pos="5040"/>
        </w:tabs>
        <w:ind w:left="5040" w:hanging="360"/>
      </w:pPr>
      <w:rPr>
        <w:rFonts w:ascii="Symbol" w:hAnsi="Symbol" w:hint="default"/>
      </w:rPr>
    </w:lvl>
    <w:lvl w:ilvl="7" w:tplc="8FD8E6C4" w:tentative="1">
      <w:start w:val="1"/>
      <w:numFmt w:val="bullet"/>
      <w:lvlText w:val=""/>
      <w:lvlJc w:val="left"/>
      <w:pPr>
        <w:tabs>
          <w:tab w:val="num" w:pos="5760"/>
        </w:tabs>
        <w:ind w:left="5760" w:hanging="360"/>
      </w:pPr>
      <w:rPr>
        <w:rFonts w:ascii="Symbol" w:hAnsi="Symbol" w:hint="default"/>
      </w:rPr>
    </w:lvl>
    <w:lvl w:ilvl="8" w:tplc="6DD861F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3E41301"/>
    <w:multiLevelType w:val="hybridMultilevel"/>
    <w:tmpl w:val="5FCEE960"/>
    <w:lvl w:ilvl="0" w:tplc="97F2A69E">
      <w:start w:val="1"/>
      <w:numFmt w:val="bullet"/>
      <w:lvlText w:val=""/>
      <w:lvlJc w:val="left"/>
      <w:pPr>
        <w:tabs>
          <w:tab w:val="num" w:pos="360"/>
        </w:tabs>
        <w:ind w:left="360" w:hanging="360"/>
      </w:pPr>
      <w:rPr>
        <w:rFonts w:ascii="Symbol" w:hAnsi="Symbol" w:hint="default"/>
      </w:rPr>
    </w:lvl>
    <w:lvl w:ilvl="1" w:tplc="8520893C" w:tentative="1">
      <w:start w:val="1"/>
      <w:numFmt w:val="bullet"/>
      <w:lvlText w:val=""/>
      <w:lvlJc w:val="left"/>
      <w:pPr>
        <w:tabs>
          <w:tab w:val="num" w:pos="1080"/>
        </w:tabs>
        <w:ind w:left="1080" w:hanging="360"/>
      </w:pPr>
      <w:rPr>
        <w:rFonts w:ascii="Symbol" w:hAnsi="Symbol" w:hint="default"/>
      </w:rPr>
    </w:lvl>
    <w:lvl w:ilvl="2" w:tplc="4260B4C6" w:tentative="1">
      <w:start w:val="1"/>
      <w:numFmt w:val="bullet"/>
      <w:lvlText w:val=""/>
      <w:lvlJc w:val="left"/>
      <w:pPr>
        <w:tabs>
          <w:tab w:val="num" w:pos="1800"/>
        </w:tabs>
        <w:ind w:left="1800" w:hanging="360"/>
      </w:pPr>
      <w:rPr>
        <w:rFonts w:ascii="Symbol" w:hAnsi="Symbol" w:hint="default"/>
      </w:rPr>
    </w:lvl>
    <w:lvl w:ilvl="3" w:tplc="A5460960" w:tentative="1">
      <w:start w:val="1"/>
      <w:numFmt w:val="bullet"/>
      <w:lvlText w:val=""/>
      <w:lvlJc w:val="left"/>
      <w:pPr>
        <w:tabs>
          <w:tab w:val="num" w:pos="2520"/>
        </w:tabs>
        <w:ind w:left="2520" w:hanging="360"/>
      </w:pPr>
      <w:rPr>
        <w:rFonts w:ascii="Symbol" w:hAnsi="Symbol" w:hint="default"/>
      </w:rPr>
    </w:lvl>
    <w:lvl w:ilvl="4" w:tplc="1FFC4E52" w:tentative="1">
      <w:start w:val="1"/>
      <w:numFmt w:val="bullet"/>
      <w:lvlText w:val=""/>
      <w:lvlJc w:val="left"/>
      <w:pPr>
        <w:tabs>
          <w:tab w:val="num" w:pos="3240"/>
        </w:tabs>
        <w:ind w:left="3240" w:hanging="360"/>
      </w:pPr>
      <w:rPr>
        <w:rFonts w:ascii="Symbol" w:hAnsi="Symbol" w:hint="default"/>
      </w:rPr>
    </w:lvl>
    <w:lvl w:ilvl="5" w:tplc="2E90A060" w:tentative="1">
      <w:start w:val="1"/>
      <w:numFmt w:val="bullet"/>
      <w:lvlText w:val=""/>
      <w:lvlJc w:val="left"/>
      <w:pPr>
        <w:tabs>
          <w:tab w:val="num" w:pos="3960"/>
        </w:tabs>
        <w:ind w:left="3960" w:hanging="360"/>
      </w:pPr>
      <w:rPr>
        <w:rFonts w:ascii="Symbol" w:hAnsi="Symbol" w:hint="default"/>
      </w:rPr>
    </w:lvl>
    <w:lvl w:ilvl="6" w:tplc="29E6CE2A" w:tentative="1">
      <w:start w:val="1"/>
      <w:numFmt w:val="bullet"/>
      <w:lvlText w:val=""/>
      <w:lvlJc w:val="left"/>
      <w:pPr>
        <w:tabs>
          <w:tab w:val="num" w:pos="4680"/>
        </w:tabs>
        <w:ind w:left="4680" w:hanging="360"/>
      </w:pPr>
      <w:rPr>
        <w:rFonts w:ascii="Symbol" w:hAnsi="Symbol" w:hint="default"/>
      </w:rPr>
    </w:lvl>
    <w:lvl w:ilvl="7" w:tplc="ACBAF454" w:tentative="1">
      <w:start w:val="1"/>
      <w:numFmt w:val="bullet"/>
      <w:lvlText w:val=""/>
      <w:lvlJc w:val="left"/>
      <w:pPr>
        <w:tabs>
          <w:tab w:val="num" w:pos="5400"/>
        </w:tabs>
        <w:ind w:left="5400" w:hanging="360"/>
      </w:pPr>
      <w:rPr>
        <w:rFonts w:ascii="Symbol" w:hAnsi="Symbol" w:hint="default"/>
      </w:rPr>
    </w:lvl>
    <w:lvl w:ilvl="8" w:tplc="E8E07256" w:tentative="1">
      <w:start w:val="1"/>
      <w:numFmt w:val="bullet"/>
      <w:lvlText w:val=""/>
      <w:lvlJc w:val="left"/>
      <w:pPr>
        <w:tabs>
          <w:tab w:val="num" w:pos="6120"/>
        </w:tabs>
        <w:ind w:left="6120" w:hanging="360"/>
      </w:pPr>
      <w:rPr>
        <w:rFonts w:ascii="Symbol" w:hAnsi="Symbol" w:hint="default"/>
      </w:rPr>
    </w:lvl>
  </w:abstractNum>
  <w:abstractNum w:abstractNumId="30" w15:restartNumberingAfterBreak="0">
    <w:nsid w:val="567D3536"/>
    <w:multiLevelType w:val="hybridMultilevel"/>
    <w:tmpl w:val="18AE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584F065B"/>
    <w:multiLevelType w:val="hybridMultilevel"/>
    <w:tmpl w:val="E4F4E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F2171E"/>
    <w:multiLevelType w:val="hybridMultilevel"/>
    <w:tmpl w:val="30C092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82206A"/>
    <w:multiLevelType w:val="multilevel"/>
    <w:tmpl w:val="72CC8AF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92" w:hanging="78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11E0DB6"/>
    <w:multiLevelType w:val="hybridMultilevel"/>
    <w:tmpl w:val="8D06B4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780162"/>
    <w:multiLevelType w:val="hybridMultilevel"/>
    <w:tmpl w:val="7E4A6E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42A66DA"/>
    <w:multiLevelType w:val="hybridMultilevel"/>
    <w:tmpl w:val="EC1439B2"/>
    <w:lvl w:ilvl="0" w:tplc="DCD42DB6">
      <w:start w:val="1"/>
      <w:numFmt w:val="bullet"/>
      <w:lvlText w:val=""/>
      <w:lvlJc w:val="left"/>
      <w:pPr>
        <w:tabs>
          <w:tab w:val="num" w:pos="360"/>
        </w:tabs>
        <w:ind w:left="360" w:hanging="360"/>
      </w:pPr>
      <w:rPr>
        <w:rFonts w:ascii="Symbol" w:hAnsi="Symbol" w:hint="default"/>
      </w:rPr>
    </w:lvl>
    <w:lvl w:ilvl="1" w:tplc="E690DF02" w:tentative="1">
      <w:start w:val="1"/>
      <w:numFmt w:val="bullet"/>
      <w:lvlText w:val=""/>
      <w:lvlJc w:val="left"/>
      <w:pPr>
        <w:tabs>
          <w:tab w:val="num" w:pos="1080"/>
        </w:tabs>
        <w:ind w:left="1080" w:hanging="360"/>
      </w:pPr>
      <w:rPr>
        <w:rFonts w:ascii="Symbol" w:hAnsi="Symbol" w:hint="default"/>
      </w:rPr>
    </w:lvl>
    <w:lvl w:ilvl="2" w:tplc="EF567F74" w:tentative="1">
      <w:start w:val="1"/>
      <w:numFmt w:val="bullet"/>
      <w:lvlText w:val=""/>
      <w:lvlJc w:val="left"/>
      <w:pPr>
        <w:tabs>
          <w:tab w:val="num" w:pos="1800"/>
        </w:tabs>
        <w:ind w:left="1800" w:hanging="360"/>
      </w:pPr>
      <w:rPr>
        <w:rFonts w:ascii="Symbol" w:hAnsi="Symbol" w:hint="default"/>
      </w:rPr>
    </w:lvl>
    <w:lvl w:ilvl="3" w:tplc="F3C8DD46" w:tentative="1">
      <w:start w:val="1"/>
      <w:numFmt w:val="bullet"/>
      <w:lvlText w:val=""/>
      <w:lvlJc w:val="left"/>
      <w:pPr>
        <w:tabs>
          <w:tab w:val="num" w:pos="2520"/>
        </w:tabs>
        <w:ind w:left="2520" w:hanging="360"/>
      </w:pPr>
      <w:rPr>
        <w:rFonts w:ascii="Symbol" w:hAnsi="Symbol" w:hint="default"/>
      </w:rPr>
    </w:lvl>
    <w:lvl w:ilvl="4" w:tplc="5CE4FD78" w:tentative="1">
      <w:start w:val="1"/>
      <w:numFmt w:val="bullet"/>
      <w:lvlText w:val=""/>
      <w:lvlJc w:val="left"/>
      <w:pPr>
        <w:tabs>
          <w:tab w:val="num" w:pos="3240"/>
        </w:tabs>
        <w:ind w:left="3240" w:hanging="360"/>
      </w:pPr>
      <w:rPr>
        <w:rFonts w:ascii="Symbol" w:hAnsi="Symbol" w:hint="default"/>
      </w:rPr>
    </w:lvl>
    <w:lvl w:ilvl="5" w:tplc="950C8378" w:tentative="1">
      <w:start w:val="1"/>
      <w:numFmt w:val="bullet"/>
      <w:lvlText w:val=""/>
      <w:lvlJc w:val="left"/>
      <w:pPr>
        <w:tabs>
          <w:tab w:val="num" w:pos="3960"/>
        </w:tabs>
        <w:ind w:left="3960" w:hanging="360"/>
      </w:pPr>
      <w:rPr>
        <w:rFonts w:ascii="Symbol" w:hAnsi="Symbol" w:hint="default"/>
      </w:rPr>
    </w:lvl>
    <w:lvl w:ilvl="6" w:tplc="29D2A08C" w:tentative="1">
      <w:start w:val="1"/>
      <w:numFmt w:val="bullet"/>
      <w:lvlText w:val=""/>
      <w:lvlJc w:val="left"/>
      <w:pPr>
        <w:tabs>
          <w:tab w:val="num" w:pos="4680"/>
        </w:tabs>
        <w:ind w:left="4680" w:hanging="360"/>
      </w:pPr>
      <w:rPr>
        <w:rFonts w:ascii="Symbol" w:hAnsi="Symbol" w:hint="default"/>
      </w:rPr>
    </w:lvl>
    <w:lvl w:ilvl="7" w:tplc="938E2130" w:tentative="1">
      <w:start w:val="1"/>
      <w:numFmt w:val="bullet"/>
      <w:lvlText w:val=""/>
      <w:lvlJc w:val="left"/>
      <w:pPr>
        <w:tabs>
          <w:tab w:val="num" w:pos="5400"/>
        </w:tabs>
        <w:ind w:left="5400" w:hanging="360"/>
      </w:pPr>
      <w:rPr>
        <w:rFonts w:ascii="Symbol" w:hAnsi="Symbol" w:hint="default"/>
      </w:rPr>
    </w:lvl>
    <w:lvl w:ilvl="8" w:tplc="9D8464E8" w:tentative="1">
      <w:start w:val="1"/>
      <w:numFmt w:val="bullet"/>
      <w:lvlText w:val=""/>
      <w:lvlJc w:val="left"/>
      <w:pPr>
        <w:tabs>
          <w:tab w:val="num" w:pos="6120"/>
        </w:tabs>
        <w:ind w:left="6120" w:hanging="360"/>
      </w:pPr>
      <w:rPr>
        <w:rFonts w:ascii="Symbol" w:hAnsi="Symbol" w:hint="default"/>
      </w:rPr>
    </w:lvl>
  </w:abstractNum>
  <w:abstractNum w:abstractNumId="38" w15:restartNumberingAfterBreak="0">
    <w:nsid w:val="65EE2B4E"/>
    <w:multiLevelType w:val="hybridMultilevel"/>
    <w:tmpl w:val="0DD0247C"/>
    <w:lvl w:ilvl="0" w:tplc="11065F82">
      <w:start w:val="1"/>
      <w:numFmt w:val="bullet"/>
      <w:lvlText w:val=""/>
      <w:lvlJc w:val="left"/>
      <w:pPr>
        <w:tabs>
          <w:tab w:val="num" w:pos="720"/>
        </w:tabs>
        <w:ind w:left="720" w:hanging="360"/>
      </w:pPr>
      <w:rPr>
        <w:rFonts w:ascii="Symbol" w:hAnsi="Symbol" w:hint="default"/>
      </w:rPr>
    </w:lvl>
    <w:lvl w:ilvl="1" w:tplc="76341C4E" w:tentative="1">
      <w:start w:val="1"/>
      <w:numFmt w:val="bullet"/>
      <w:lvlText w:val=""/>
      <w:lvlJc w:val="left"/>
      <w:pPr>
        <w:tabs>
          <w:tab w:val="num" w:pos="1440"/>
        </w:tabs>
        <w:ind w:left="1440" w:hanging="360"/>
      </w:pPr>
      <w:rPr>
        <w:rFonts w:ascii="Symbol" w:hAnsi="Symbol" w:hint="default"/>
      </w:rPr>
    </w:lvl>
    <w:lvl w:ilvl="2" w:tplc="56CA2034" w:tentative="1">
      <w:start w:val="1"/>
      <w:numFmt w:val="bullet"/>
      <w:lvlText w:val=""/>
      <w:lvlJc w:val="left"/>
      <w:pPr>
        <w:tabs>
          <w:tab w:val="num" w:pos="2160"/>
        </w:tabs>
        <w:ind w:left="2160" w:hanging="360"/>
      </w:pPr>
      <w:rPr>
        <w:rFonts w:ascii="Symbol" w:hAnsi="Symbol" w:hint="default"/>
      </w:rPr>
    </w:lvl>
    <w:lvl w:ilvl="3" w:tplc="CCA67518" w:tentative="1">
      <w:start w:val="1"/>
      <w:numFmt w:val="bullet"/>
      <w:lvlText w:val=""/>
      <w:lvlJc w:val="left"/>
      <w:pPr>
        <w:tabs>
          <w:tab w:val="num" w:pos="2880"/>
        </w:tabs>
        <w:ind w:left="2880" w:hanging="360"/>
      </w:pPr>
      <w:rPr>
        <w:rFonts w:ascii="Symbol" w:hAnsi="Symbol" w:hint="default"/>
      </w:rPr>
    </w:lvl>
    <w:lvl w:ilvl="4" w:tplc="9C9802AC" w:tentative="1">
      <w:start w:val="1"/>
      <w:numFmt w:val="bullet"/>
      <w:lvlText w:val=""/>
      <w:lvlJc w:val="left"/>
      <w:pPr>
        <w:tabs>
          <w:tab w:val="num" w:pos="3600"/>
        </w:tabs>
        <w:ind w:left="3600" w:hanging="360"/>
      </w:pPr>
      <w:rPr>
        <w:rFonts w:ascii="Symbol" w:hAnsi="Symbol" w:hint="default"/>
      </w:rPr>
    </w:lvl>
    <w:lvl w:ilvl="5" w:tplc="EFE0F9A6" w:tentative="1">
      <w:start w:val="1"/>
      <w:numFmt w:val="bullet"/>
      <w:lvlText w:val=""/>
      <w:lvlJc w:val="left"/>
      <w:pPr>
        <w:tabs>
          <w:tab w:val="num" w:pos="4320"/>
        </w:tabs>
        <w:ind w:left="4320" w:hanging="360"/>
      </w:pPr>
      <w:rPr>
        <w:rFonts w:ascii="Symbol" w:hAnsi="Symbol" w:hint="default"/>
      </w:rPr>
    </w:lvl>
    <w:lvl w:ilvl="6" w:tplc="D7FA4D0E" w:tentative="1">
      <w:start w:val="1"/>
      <w:numFmt w:val="bullet"/>
      <w:lvlText w:val=""/>
      <w:lvlJc w:val="left"/>
      <w:pPr>
        <w:tabs>
          <w:tab w:val="num" w:pos="5040"/>
        </w:tabs>
        <w:ind w:left="5040" w:hanging="360"/>
      </w:pPr>
      <w:rPr>
        <w:rFonts w:ascii="Symbol" w:hAnsi="Symbol" w:hint="default"/>
      </w:rPr>
    </w:lvl>
    <w:lvl w:ilvl="7" w:tplc="8C528D50" w:tentative="1">
      <w:start w:val="1"/>
      <w:numFmt w:val="bullet"/>
      <w:lvlText w:val=""/>
      <w:lvlJc w:val="left"/>
      <w:pPr>
        <w:tabs>
          <w:tab w:val="num" w:pos="5760"/>
        </w:tabs>
        <w:ind w:left="5760" w:hanging="360"/>
      </w:pPr>
      <w:rPr>
        <w:rFonts w:ascii="Symbol" w:hAnsi="Symbol" w:hint="default"/>
      </w:rPr>
    </w:lvl>
    <w:lvl w:ilvl="8" w:tplc="AD0E6BD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685373B"/>
    <w:multiLevelType w:val="hybridMultilevel"/>
    <w:tmpl w:val="18DE77EA"/>
    <w:lvl w:ilvl="0" w:tplc="BB5678A6">
      <w:start w:val="1"/>
      <w:numFmt w:val="bullet"/>
      <w:lvlText w:val=""/>
      <w:lvlJc w:val="left"/>
      <w:pPr>
        <w:tabs>
          <w:tab w:val="num" w:pos="720"/>
        </w:tabs>
        <w:ind w:left="720" w:hanging="360"/>
      </w:pPr>
      <w:rPr>
        <w:rFonts w:ascii="Symbol" w:hAnsi="Symbol" w:hint="default"/>
      </w:rPr>
    </w:lvl>
    <w:lvl w:ilvl="1" w:tplc="E1DC563E" w:tentative="1">
      <w:start w:val="1"/>
      <w:numFmt w:val="bullet"/>
      <w:lvlText w:val=""/>
      <w:lvlJc w:val="left"/>
      <w:pPr>
        <w:tabs>
          <w:tab w:val="num" w:pos="1440"/>
        </w:tabs>
        <w:ind w:left="1440" w:hanging="360"/>
      </w:pPr>
      <w:rPr>
        <w:rFonts w:ascii="Symbol" w:hAnsi="Symbol" w:hint="default"/>
      </w:rPr>
    </w:lvl>
    <w:lvl w:ilvl="2" w:tplc="0EDA00C4" w:tentative="1">
      <w:start w:val="1"/>
      <w:numFmt w:val="bullet"/>
      <w:lvlText w:val=""/>
      <w:lvlJc w:val="left"/>
      <w:pPr>
        <w:tabs>
          <w:tab w:val="num" w:pos="2160"/>
        </w:tabs>
        <w:ind w:left="2160" w:hanging="360"/>
      </w:pPr>
      <w:rPr>
        <w:rFonts w:ascii="Symbol" w:hAnsi="Symbol" w:hint="default"/>
      </w:rPr>
    </w:lvl>
    <w:lvl w:ilvl="3" w:tplc="A11C370C" w:tentative="1">
      <w:start w:val="1"/>
      <w:numFmt w:val="bullet"/>
      <w:lvlText w:val=""/>
      <w:lvlJc w:val="left"/>
      <w:pPr>
        <w:tabs>
          <w:tab w:val="num" w:pos="2880"/>
        </w:tabs>
        <w:ind w:left="2880" w:hanging="360"/>
      </w:pPr>
      <w:rPr>
        <w:rFonts w:ascii="Symbol" w:hAnsi="Symbol" w:hint="default"/>
      </w:rPr>
    </w:lvl>
    <w:lvl w:ilvl="4" w:tplc="27381ABA" w:tentative="1">
      <w:start w:val="1"/>
      <w:numFmt w:val="bullet"/>
      <w:lvlText w:val=""/>
      <w:lvlJc w:val="left"/>
      <w:pPr>
        <w:tabs>
          <w:tab w:val="num" w:pos="3600"/>
        </w:tabs>
        <w:ind w:left="3600" w:hanging="360"/>
      </w:pPr>
      <w:rPr>
        <w:rFonts w:ascii="Symbol" w:hAnsi="Symbol" w:hint="default"/>
      </w:rPr>
    </w:lvl>
    <w:lvl w:ilvl="5" w:tplc="C128C326" w:tentative="1">
      <w:start w:val="1"/>
      <w:numFmt w:val="bullet"/>
      <w:lvlText w:val=""/>
      <w:lvlJc w:val="left"/>
      <w:pPr>
        <w:tabs>
          <w:tab w:val="num" w:pos="4320"/>
        </w:tabs>
        <w:ind w:left="4320" w:hanging="360"/>
      </w:pPr>
      <w:rPr>
        <w:rFonts w:ascii="Symbol" w:hAnsi="Symbol" w:hint="default"/>
      </w:rPr>
    </w:lvl>
    <w:lvl w:ilvl="6" w:tplc="2D0C7256" w:tentative="1">
      <w:start w:val="1"/>
      <w:numFmt w:val="bullet"/>
      <w:lvlText w:val=""/>
      <w:lvlJc w:val="left"/>
      <w:pPr>
        <w:tabs>
          <w:tab w:val="num" w:pos="5040"/>
        </w:tabs>
        <w:ind w:left="5040" w:hanging="360"/>
      </w:pPr>
      <w:rPr>
        <w:rFonts w:ascii="Symbol" w:hAnsi="Symbol" w:hint="default"/>
      </w:rPr>
    </w:lvl>
    <w:lvl w:ilvl="7" w:tplc="D14C0E7E" w:tentative="1">
      <w:start w:val="1"/>
      <w:numFmt w:val="bullet"/>
      <w:lvlText w:val=""/>
      <w:lvlJc w:val="left"/>
      <w:pPr>
        <w:tabs>
          <w:tab w:val="num" w:pos="5760"/>
        </w:tabs>
        <w:ind w:left="5760" w:hanging="360"/>
      </w:pPr>
      <w:rPr>
        <w:rFonts w:ascii="Symbol" w:hAnsi="Symbol" w:hint="default"/>
      </w:rPr>
    </w:lvl>
    <w:lvl w:ilvl="8" w:tplc="46F8FE1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B415985"/>
    <w:multiLevelType w:val="hybridMultilevel"/>
    <w:tmpl w:val="1026C43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A8470A"/>
    <w:multiLevelType w:val="multilevel"/>
    <w:tmpl w:val="9072E50C"/>
    <w:styleLink w:val="StyleOutlinenumbered"/>
    <w:lvl w:ilvl="0">
      <w:start w:val="1"/>
      <w:numFmt w:val="bullet"/>
      <w:lvlText w:val=""/>
      <w:lvlJc w:val="left"/>
      <w:pPr>
        <w:tabs>
          <w:tab w:val="num" w:pos="1074"/>
        </w:tabs>
        <w:ind w:left="1074" w:hanging="360"/>
      </w:pPr>
      <w:rPr>
        <w:rFonts w:ascii="Symbol" w:hAnsi="Symbol"/>
        <w:sz w:val="24"/>
      </w:rPr>
    </w:lvl>
    <w:lvl w:ilvl="1">
      <w:start w:val="1"/>
      <w:numFmt w:val="bullet"/>
      <w:lvlText w:val="o"/>
      <w:lvlJc w:val="left"/>
      <w:pPr>
        <w:tabs>
          <w:tab w:val="num" w:pos="1794"/>
        </w:tabs>
        <w:ind w:left="1794" w:hanging="360"/>
      </w:pPr>
      <w:rPr>
        <w:rFonts w:ascii="Courier New" w:hAnsi="Courier New"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42" w15:restartNumberingAfterBreak="0">
    <w:nsid w:val="6D8D0F70"/>
    <w:multiLevelType w:val="hybridMultilevel"/>
    <w:tmpl w:val="BCBABDB6"/>
    <w:lvl w:ilvl="0" w:tplc="6A387B2C">
      <w:start w:val="1"/>
      <w:numFmt w:val="bullet"/>
      <w:lvlText w:val=""/>
      <w:lvlJc w:val="left"/>
      <w:pPr>
        <w:tabs>
          <w:tab w:val="num" w:pos="720"/>
        </w:tabs>
        <w:ind w:left="720" w:hanging="360"/>
      </w:pPr>
      <w:rPr>
        <w:rFonts w:ascii="Symbol" w:hAnsi="Symbol" w:hint="default"/>
      </w:rPr>
    </w:lvl>
    <w:lvl w:ilvl="1" w:tplc="B5F2AF46" w:tentative="1">
      <w:start w:val="1"/>
      <w:numFmt w:val="bullet"/>
      <w:lvlText w:val=""/>
      <w:lvlJc w:val="left"/>
      <w:pPr>
        <w:tabs>
          <w:tab w:val="num" w:pos="1440"/>
        </w:tabs>
        <w:ind w:left="1440" w:hanging="360"/>
      </w:pPr>
      <w:rPr>
        <w:rFonts w:ascii="Symbol" w:hAnsi="Symbol" w:hint="default"/>
      </w:rPr>
    </w:lvl>
    <w:lvl w:ilvl="2" w:tplc="A2DC84A6" w:tentative="1">
      <w:start w:val="1"/>
      <w:numFmt w:val="bullet"/>
      <w:lvlText w:val=""/>
      <w:lvlJc w:val="left"/>
      <w:pPr>
        <w:tabs>
          <w:tab w:val="num" w:pos="2160"/>
        </w:tabs>
        <w:ind w:left="2160" w:hanging="360"/>
      </w:pPr>
      <w:rPr>
        <w:rFonts w:ascii="Symbol" w:hAnsi="Symbol" w:hint="default"/>
      </w:rPr>
    </w:lvl>
    <w:lvl w:ilvl="3" w:tplc="43B01CC0" w:tentative="1">
      <w:start w:val="1"/>
      <w:numFmt w:val="bullet"/>
      <w:lvlText w:val=""/>
      <w:lvlJc w:val="left"/>
      <w:pPr>
        <w:tabs>
          <w:tab w:val="num" w:pos="2880"/>
        </w:tabs>
        <w:ind w:left="2880" w:hanging="360"/>
      </w:pPr>
      <w:rPr>
        <w:rFonts w:ascii="Symbol" w:hAnsi="Symbol" w:hint="default"/>
      </w:rPr>
    </w:lvl>
    <w:lvl w:ilvl="4" w:tplc="77C67FBA" w:tentative="1">
      <w:start w:val="1"/>
      <w:numFmt w:val="bullet"/>
      <w:lvlText w:val=""/>
      <w:lvlJc w:val="left"/>
      <w:pPr>
        <w:tabs>
          <w:tab w:val="num" w:pos="3600"/>
        </w:tabs>
        <w:ind w:left="3600" w:hanging="360"/>
      </w:pPr>
      <w:rPr>
        <w:rFonts w:ascii="Symbol" w:hAnsi="Symbol" w:hint="default"/>
      </w:rPr>
    </w:lvl>
    <w:lvl w:ilvl="5" w:tplc="6F2EA854" w:tentative="1">
      <w:start w:val="1"/>
      <w:numFmt w:val="bullet"/>
      <w:lvlText w:val=""/>
      <w:lvlJc w:val="left"/>
      <w:pPr>
        <w:tabs>
          <w:tab w:val="num" w:pos="4320"/>
        </w:tabs>
        <w:ind w:left="4320" w:hanging="360"/>
      </w:pPr>
      <w:rPr>
        <w:rFonts w:ascii="Symbol" w:hAnsi="Symbol" w:hint="default"/>
      </w:rPr>
    </w:lvl>
    <w:lvl w:ilvl="6" w:tplc="236A09F0" w:tentative="1">
      <w:start w:val="1"/>
      <w:numFmt w:val="bullet"/>
      <w:lvlText w:val=""/>
      <w:lvlJc w:val="left"/>
      <w:pPr>
        <w:tabs>
          <w:tab w:val="num" w:pos="5040"/>
        </w:tabs>
        <w:ind w:left="5040" w:hanging="360"/>
      </w:pPr>
      <w:rPr>
        <w:rFonts w:ascii="Symbol" w:hAnsi="Symbol" w:hint="default"/>
      </w:rPr>
    </w:lvl>
    <w:lvl w:ilvl="7" w:tplc="A51004F2" w:tentative="1">
      <w:start w:val="1"/>
      <w:numFmt w:val="bullet"/>
      <w:lvlText w:val=""/>
      <w:lvlJc w:val="left"/>
      <w:pPr>
        <w:tabs>
          <w:tab w:val="num" w:pos="5760"/>
        </w:tabs>
        <w:ind w:left="5760" w:hanging="360"/>
      </w:pPr>
      <w:rPr>
        <w:rFonts w:ascii="Symbol" w:hAnsi="Symbol" w:hint="default"/>
      </w:rPr>
    </w:lvl>
    <w:lvl w:ilvl="8" w:tplc="FAFC2BD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F3336DB"/>
    <w:multiLevelType w:val="multilevel"/>
    <w:tmpl w:val="B8CC1FFE"/>
    <w:styleLink w:val="CurrentList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D42ED3"/>
    <w:multiLevelType w:val="hybridMultilevel"/>
    <w:tmpl w:val="2B06EBC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79643197"/>
    <w:multiLevelType w:val="multilevel"/>
    <w:tmpl w:val="42B6BDB2"/>
    <w:styleLink w:val="Lis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D60A5"/>
    <w:multiLevelType w:val="hybridMultilevel"/>
    <w:tmpl w:val="F184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F87CAA"/>
    <w:multiLevelType w:val="hybridMultilevel"/>
    <w:tmpl w:val="B61E40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43"/>
  </w:num>
  <w:num w:numId="3">
    <w:abstractNumId w:val="16"/>
  </w:num>
  <w:num w:numId="4">
    <w:abstractNumId w:val="34"/>
  </w:num>
  <w:num w:numId="5">
    <w:abstractNumId w:val="41"/>
  </w:num>
  <w:num w:numId="6">
    <w:abstractNumId w:val="45"/>
  </w:num>
  <w:num w:numId="7">
    <w:abstractNumId w:val="31"/>
  </w:num>
  <w:num w:numId="8">
    <w:abstractNumId w:val="6"/>
  </w:num>
  <w:num w:numId="9">
    <w:abstractNumId w:val="33"/>
  </w:num>
  <w:num w:numId="10">
    <w:abstractNumId w:val="15"/>
  </w:num>
  <w:num w:numId="11">
    <w:abstractNumId w:val="11"/>
  </w:num>
  <w:num w:numId="12">
    <w:abstractNumId w:val="47"/>
  </w:num>
  <w:num w:numId="13">
    <w:abstractNumId w:val="44"/>
  </w:num>
  <w:num w:numId="14">
    <w:abstractNumId w:val="36"/>
  </w:num>
  <w:num w:numId="15">
    <w:abstractNumId w:val="27"/>
  </w:num>
  <w:num w:numId="16">
    <w:abstractNumId w:val="10"/>
  </w:num>
  <w:num w:numId="17">
    <w:abstractNumId w:val="20"/>
  </w:num>
  <w:num w:numId="18">
    <w:abstractNumId w:val="46"/>
  </w:num>
  <w:num w:numId="19">
    <w:abstractNumId w:val="22"/>
  </w:num>
  <w:num w:numId="20">
    <w:abstractNumId w:val="18"/>
  </w:num>
  <w:num w:numId="21">
    <w:abstractNumId w:val="30"/>
  </w:num>
  <w:num w:numId="22">
    <w:abstractNumId w:val="21"/>
  </w:num>
  <w:num w:numId="23">
    <w:abstractNumId w:val="8"/>
  </w:num>
  <w:num w:numId="24">
    <w:abstractNumId w:val="32"/>
  </w:num>
  <w:num w:numId="25">
    <w:abstractNumId w:val="9"/>
  </w:num>
  <w:num w:numId="26">
    <w:abstractNumId w:val="25"/>
  </w:num>
  <w:num w:numId="27">
    <w:abstractNumId w:val="35"/>
  </w:num>
  <w:num w:numId="28">
    <w:abstractNumId w:val="23"/>
  </w:num>
  <w:num w:numId="29">
    <w:abstractNumId w:val="40"/>
  </w:num>
  <w:num w:numId="30">
    <w:abstractNumId w:val="19"/>
  </w:num>
  <w:num w:numId="31">
    <w:abstractNumId w:val="7"/>
  </w:num>
  <w:num w:numId="32">
    <w:abstractNumId w:val="24"/>
  </w:num>
  <w:num w:numId="33">
    <w:abstractNumId w:val="37"/>
  </w:num>
  <w:num w:numId="34">
    <w:abstractNumId w:val="14"/>
  </w:num>
  <w:num w:numId="35">
    <w:abstractNumId w:val="29"/>
  </w:num>
  <w:num w:numId="36">
    <w:abstractNumId w:val="5"/>
  </w:num>
  <w:num w:numId="37">
    <w:abstractNumId w:val="39"/>
  </w:num>
  <w:num w:numId="38">
    <w:abstractNumId w:val="38"/>
  </w:num>
  <w:num w:numId="39">
    <w:abstractNumId w:val="28"/>
  </w:num>
  <w:num w:numId="40">
    <w:abstractNumId w:val="17"/>
  </w:num>
  <w:num w:numId="41">
    <w:abstractNumId w:val="4"/>
  </w:num>
  <w:num w:numId="42">
    <w:abstractNumId w:val="1"/>
  </w:num>
  <w:num w:numId="43">
    <w:abstractNumId w:val="13"/>
  </w:num>
  <w:num w:numId="44">
    <w:abstractNumId w:val="3"/>
  </w:num>
  <w:num w:numId="45">
    <w:abstractNumId w:val="26"/>
  </w:num>
  <w:num w:numId="46">
    <w:abstractNumId w:val="42"/>
  </w:num>
  <w:num w:numId="47">
    <w:abstractNumId w:val="2"/>
  </w:num>
  <w:num w:numId="4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D7"/>
    <w:rsid w:val="00000140"/>
    <w:rsid w:val="00004500"/>
    <w:rsid w:val="00007008"/>
    <w:rsid w:val="000177B3"/>
    <w:rsid w:val="00021D3F"/>
    <w:rsid w:val="0002318A"/>
    <w:rsid w:val="00023929"/>
    <w:rsid w:val="0002444A"/>
    <w:rsid w:val="0003116E"/>
    <w:rsid w:val="00032E11"/>
    <w:rsid w:val="00032E99"/>
    <w:rsid w:val="0003410C"/>
    <w:rsid w:val="000353EC"/>
    <w:rsid w:val="0003567E"/>
    <w:rsid w:val="00035C0F"/>
    <w:rsid w:val="00037014"/>
    <w:rsid w:val="00037A29"/>
    <w:rsid w:val="00043333"/>
    <w:rsid w:val="000517FA"/>
    <w:rsid w:val="00051AC4"/>
    <w:rsid w:val="00054CC9"/>
    <w:rsid w:val="000578DB"/>
    <w:rsid w:val="00062E1F"/>
    <w:rsid w:val="00063376"/>
    <w:rsid w:val="00065B6C"/>
    <w:rsid w:val="00065FD4"/>
    <w:rsid w:val="00066896"/>
    <w:rsid w:val="0006718C"/>
    <w:rsid w:val="0007151E"/>
    <w:rsid w:val="00072A8A"/>
    <w:rsid w:val="000741BB"/>
    <w:rsid w:val="000747AA"/>
    <w:rsid w:val="00074829"/>
    <w:rsid w:val="00074952"/>
    <w:rsid w:val="0008233F"/>
    <w:rsid w:val="00083694"/>
    <w:rsid w:val="00084742"/>
    <w:rsid w:val="000969B3"/>
    <w:rsid w:val="000A028C"/>
    <w:rsid w:val="000A0AF2"/>
    <w:rsid w:val="000A16D5"/>
    <w:rsid w:val="000A4DBE"/>
    <w:rsid w:val="000B19B9"/>
    <w:rsid w:val="000B1B26"/>
    <w:rsid w:val="000B1E9B"/>
    <w:rsid w:val="000B395C"/>
    <w:rsid w:val="000B3F65"/>
    <w:rsid w:val="000B5EE2"/>
    <w:rsid w:val="000C47AB"/>
    <w:rsid w:val="000C4CE4"/>
    <w:rsid w:val="000D1ADA"/>
    <w:rsid w:val="000D1D15"/>
    <w:rsid w:val="000D2AF0"/>
    <w:rsid w:val="000D310D"/>
    <w:rsid w:val="000D5422"/>
    <w:rsid w:val="000D6846"/>
    <w:rsid w:val="000D6EB3"/>
    <w:rsid w:val="000E0B37"/>
    <w:rsid w:val="000E35F0"/>
    <w:rsid w:val="000E4250"/>
    <w:rsid w:val="000E4A52"/>
    <w:rsid w:val="000E5835"/>
    <w:rsid w:val="000E5EE6"/>
    <w:rsid w:val="000F12F7"/>
    <w:rsid w:val="000F24C3"/>
    <w:rsid w:val="0010042E"/>
    <w:rsid w:val="00101860"/>
    <w:rsid w:val="0010390F"/>
    <w:rsid w:val="00107240"/>
    <w:rsid w:val="00111390"/>
    <w:rsid w:val="00112B8C"/>
    <w:rsid w:val="00113DFE"/>
    <w:rsid w:val="00114AC9"/>
    <w:rsid w:val="00117C1A"/>
    <w:rsid w:val="0012339A"/>
    <w:rsid w:val="00130CB6"/>
    <w:rsid w:val="001344D7"/>
    <w:rsid w:val="00137D5F"/>
    <w:rsid w:val="00140539"/>
    <w:rsid w:val="00140DC6"/>
    <w:rsid w:val="00147EA0"/>
    <w:rsid w:val="001517B8"/>
    <w:rsid w:val="0016175E"/>
    <w:rsid w:val="001649C0"/>
    <w:rsid w:val="001653B8"/>
    <w:rsid w:val="00165433"/>
    <w:rsid w:val="00165498"/>
    <w:rsid w:val="00165D4B"/>
    <w:rsid w:val="00165EA3"/>
    <w:rsid w:val="001661B8"/>
    <w:rsid w:val="00167A4A"/>
    <w:rsid w:val="00170386"/>
    <w:rsid w:val="00171E19"/>
    <w:rsid w:val="00175E05"/>
    <w:rsid w:val="00183F07"/>
    <w:rsid w:val="00183F12"/>
    <w:rsid w:val="001866EA"/>
    <w:rsid w:val="00187CE6"/>
    <w:rsid w:val="0019145C"/>
    <w:rsid w:val="00191C4D"/>
    <w:rsid w:val="001924B8"/>
    <w:rsid w:val="00193DA8"/>
    <w:rsid w:val="001952D7"/>
    <w:rsid w:val="00195EC1"/>
    <w:rsid w:val="001960C4"/>
    <w:rsid w:val="001A51A4"/>
    <w:rsid w:val="001B1672"/>
    <w:rsid w:val="001B1D1B"/>
    <w:rsid w:val="001B2BF2"/>
    <w:rsid w:val="001B4EC3"/>
    <w:rsid w:val="001B7EC5"/>
    <w:rsid w:val="001C4492"/>
    <w:rsid w:val="001C62E5"/>
    <w:rsid w:val="001C658F"/>
    <w:rsid w:val="001C705F"/>
    <w:rsid w:val="001C70AE"/>
    <w:rsid w:val="001D16CA"/>
    <w:rsid w:val="001E0CE5"/>
    <w:rsid w:val="001E3415"/>
    <w:rsid w:val="001E38CA"/>
    <w:rsid w:val="001F2A5F"/>
    <w:rsid w:val="001F3325"/>
    <w:rsid w:val="001F5764"/>
    <w:rsid w:val="001F6923"/>
    <w:rsid w:val="002016EF"/>
    <w:rsid w:val="00201C43"/>
    <w:rsid w:val="00201DCE"/>
    <w:rsid w:val="002022A4"/>
    <w:rsid w:val="00202344"/>
    <w:rsid w:val="00202D2D"/>
    <w:rsid w:val="00203AB9"/>
    <w:rsid w:val="002042B2"/>
    <w:rsid w:val="002053E2"/>
    <w:rsid w:val="00206F5F"/>
    <w:rsid w:val="002074DE"/>
    <w:rsid w:val="00212BD1"/>
    <w:rsid w:val="00214F69"/>
    <w:rsid w:val="00215972"/>
    <w:rsid w:val="0021773A"/>
    <w:rsid w:val="0022270E"/>
    <w:rsid w:val="00222A1A"/>
    <w:rsid w:val="0022448C"/>
    <w:rsid w:val="00224F66"/>
    <w:rsid w:val="00226AE4"/>
    <w:rsid w:val="002270DF"/>
    <w:rsid w:val="002274ED"/>
    <w:rsid w:val="002320AE"/>
    <w:rsid w:val="00235E4B"/>
    <w:rsid w:val="00236392"/>
    <w:rsid w:val="002370F9"/>
    <w:rsid w:val="002373F2"/>
    <w:rsid w:val="002428F8"/>
    <w:rsid w:val="00245C2B"/>
    <w:rsid w:val="00245E4D"/>
    <w:rsid w:val="00250070"/>
    <w:rsid w:val="00251538"/>
    <w:rsid w:val="002602E3"/>
    <w:rsid w:val="00260615"/>
    <w:rsid w:val="00260DE3"/>
    <w:rsid w:val="0026276B"/>
    <w:rsid w:val="002635DB"/>
    <w:rsid w:val="002637B9"/>
    <w:rsid w:val="00265197"/>
    <w:rsid w:val="002662BA"/>
    <w:rsid w:val="002702E6"/>
    <w:rsid w:val="00270304"/>
    <w:rsid w:val="002735F1"/>
    <w:rsid w:val="002741D6"/>
    <w:rsid w:val="0028053E"/>
    <w:rsid w:val="00280816"/>
    <w:rsid w:val="002818DD"/>
    <w:rsid w:val="00285673"/>
    <w:rsid w:val="002858EC"/>
    <w:rsid w:val="00286402"/>
    <w:rsid w:val="00286562"/>
    <w:rsid w:val="00290DA3"/>
    <w:rsid w:val="00291BF9"/>
    <w:rsid w:val="00291EDA"/>
    <w:rsid w:val="00291F22"/>
    <w:rsid w:val="00296326"/>
    <w:rsid w:val="002A1078"/>
    <w:rsid w:val="002A3A4B"/>
    <w:rsid w:val="002A6379"/>
    <w:rsid w:val="002A69C8"/>
    <w:rsid w:val="002A6BE4"/>
    <w:rsid w:val="002A7C4B"/>
    <w:rsid w:val="002B2BFE"/>
    <w:rsid w:val="002B339F"/>
    <w:rsid w:val="002B43EA"/>
    <w:rsid w:val="002B6107"/>
    <w:rsid w:val="002B6C2B"/>
    <w:rsid w:val="002B7CDF"/>
    <w:rsid w:val="002C05E1"/>
    <w:rsid w:val="002C3820"/>
    <w:rsid w:val="002C4214"/>
    <w:rsid w:val="002D47D0"/>
    <w:rsid w:val="002D4878"/>
    <w:rsid w:val="002E1829"/>
    <w:rsid w:val="002E196A"/>
    <w:rsid w:val="002E4DDA"/>
    <w:rsid w:val="002E4EDE"/>
    <w:rsid w:val="002F4BD6"/>
    <w:rsid w:val="002F587B"/>
    <w:rsid w:val="0030270A"/>
    <w:rsid w:val="003051F6"/>
    <w:rsid w:val="00305981"/>
    <w:rsid w:val="0030628D"/>
    <w:rsid w:val="00306612"/>
    <w:rsid w:val="00310B5D"/>
    <w:rsid w:val="00310C31"/>
    <w:rsid w:val="003115F3"/>
    <w:rsid w:val="00312942"/>
    <w:rsid w:val="003146CD"/>
    <w:rsid w:val="0031505D"/>
    <w:rsid w:val="00316B91"/>
    <w:rsid w:val="003171EC"/>
    <w:rsid w:val="0032057D"/>
    <w:rsid w:val="00321944"/>
    <w:rsid w:val="00322B8D"/>
    <w:rsid w:val="003253D5"/>
    <w:rsid w:val="00325D61"/>
    <w:rsid w:val="00326A32"/>
    <w:rsid w:val="003270EA"/>
    <w:rsid w:val="003309D9"/>
    <w:rsid w:val="003336AF"/>
    <w:rsid w:val="0033481A"/>
    <w:rsid w:val="00336B38"/>
    <w:rsid w:val="00341065"/>
    <w:rsid w:val="003427F7"/>
    <w:rsid w:val="003468BD"/>
    <w:rsid w:val="003468EF"/>
    <w:rsid w:val="00351C35"/>
    <w:rsid w:val="00352488"/>
    <w:rsid w:val="0035309B"/>
    <w:rsid w:val="003534E5"/>
    <w:rsid w:val="0035370A"/>
    <w:rsid w:val="003538ED"/>
    <w:rsid w:val="00355904"/>
    <w:rsid w:val="00362CDE"/>
    <w:rsid w:val="00363586"/>
    <w:rsid w:val="00364016"/>
    <w:rsid w:val="00364D6F"/>
    <w:rsid w:val="003733C4"/>
    <w:rsid w:val="00374CFE"/>
    <w:rsid w:val="00374E6E"/>
    <w:rsid w:val="00375B93"/>
    <w:rsid w:val="00376299"/>
    <w:rsid w:val="00380B5F"/>
    <w:rsid w:val="00383FC2"/>
    <w:rsid w:val="003843D9"/>
    <w:rsid w:val="00390CED"/>
    <w:rsid w:val="00394427"/>
    <w:rsid w:val="003962A2"/>
    <w:rsid w:val="003A08BF"/>
    <w:rsid w:val="003A4F78"/>
    <w:rsid w:val="003A7FE7"/>
    <w:rsid w:val="003B040C"/>
    <w:rsid w:val="003B1880"/>
    <w:rsid w:val="003B1924"/>
    <w:rsid w:val="003B1CBF"/>
    <w:rsid w:val="003B2DDF"/>
    <w:rsid w:val="003C03D5"/>
    <w:rsid w:val="003C2EB7"/>
    <w:rsid w:val="003C4FAD"/>
    <w:rsid w:val="003C4FD9"/>
    <w:rsid w:val="003C591E"/>
    <w:rsid w:val="003C7344"/>
    <w:rsid w:val="003C747B"/>
    <w:rsid w:val="003D1F24"/>
    <w:rsid w:val="003D2A4C"/>
    <w:rsid w:val="003D3143"/>
    <w:rsid w:val="003D4865"/>
    <w:rsid w:val="003D4F18"/>
    <w:rsid w:val="003D58CD"/>
    <w:rsid w:val="003D7225"/>
    <w:rsid w:val="003E0233"/>
    <w:rsid w:val="003E0699"/>
    <w:rsid w:val="003E3BA1"/>
    <w:rsid w:val="003F2C98"/>
    <w:rsid w:val="003F5D24"/>
    <w:rsid w:val="003F5EF6"/>
    <w:rsid w:val="003F72D2"/>
    <w:rsid w:val="00400C55"/>
    <w:rsid w:val="00400E46"/>
    <w:rsid w:val="004015A8"/>
    <w:rsid w:val="00402000"/>
    <w:rsid w:val="004027CE"/>
    <w:rsid w:val="00403732"/>
    <w:rsid w:val="00403C98"/>
    <w:rsid w:val="004049BF"/>
    <w:rsid w:val="004051B8"/>
    <w:rsid w:val="0040709D"/>
    <w:rsid w:val="00410D89"/>
    <w:rsid w:val="0041170D"/>
    <w:rsid w:val="004118F8"/>
    <w:rsid w:val="004141E0"/>
    <w:rsid w:val="00416170"/>
    <w:rsid w:val="00420245"/>
    <w:rsid w:val="0042054C"/>
    <w:rsid w:val="00421780"/>
    <w:rsid w:val="004225DF"/>
    <w:rsid w:val="00424CF5"/>
    <w:rsid w:val="00430D6A"/>
    <w:rsid w:val="00431A1A"/>
    <w:rsid w:val="0043777F"/>
    <w:rsid w:val="0044122E"/>
    <w:rsid w:val="004421B8"/>
    <w:rsid w:val="00442632"/>
    <w:rsid w:val="00442D8C"/>
    <w:rsid w:val="0044608E"/>
    <w:rsid w:val="00447B66"/>
    <w:rsid w:val="00450771"/>
    <w:rsid w:val="00454682"/>
    <w:rsid w:val="00457FBD"/>
    <w:rsid w:val="00460DB3"/>
    <w:rsid w:val="004618C3"/>
    <w:rsid w:val="0046474E"/>
    <w:rsid w:val="00471322"/>
    <w:rsid w:val="00471F2D"/>
    <w:rsid w:val="004738A6"/>
    <w:rsid w:val="00473C16"/>
    <w:rsid w:val="00475CBC"/>
    <w:rsid w:val="004762D5"/>
    <w:rsid w:val="0047789D"/>
    <w:rsid w:val="004843CC"/>
    <w:rsid w:val="00485ACC"/>
    <w:rsid w:val="0049064F"/>
    <w:rsid w:val="00495551"/>
    <w:rsid w:val="004A380D"/>
    <w:rsid w:val="004B0D8D"/>
    <w:rsid w:val="004B0E7C"/>
    <w:rsid w:val="004B4A9F"/>
    <w:rsid w:val="004B641B"/>
    <w:rsid w:val="004B7CEC"/>
    <w:rsid w:val="004C0153"/>
    <w:rsid w:val="004C317E"/>
    <w:rsid w:val="004C367E"/>
    <w:rsid w:val="004C454B"/>
    <w:rsid w:val="004C49CF"/>
    <w:rsid w:val="004D082F"/>
    <w:rsid w:val="004D2398"/>
    <w:rsid w:val="004D3509"/>
    <w:rsid w:val="004D3AFA"/>
    <w:rsid w:val="004D6952"/>
    <w:rsid w:val="004D6F2A"/>
    <w:rsid w:val="004E23D8"/>
    <w:rsid w:val="004E2F2A"/>
    <w:rsid w:val="004E2F87"/>
    <w:rsid w:val="004E3731"/>
    <w:rsid w:val="004E3FF6"/>
    <w:rsid w:val="004F0EEF"/>
    <w:rsid w:val="004F0F79"/>
    <w:rsid w:val="004F251B"/>
    <w:rsid w:val="004F31BC"/>
    <w:rsid w:val="004F57EF"/>
    <w:rsid w:val="004F70FF"/>
    <w:rsid w:val="005020D0"/>
    <w:rsid w:val="00502A8C"/>
    <w:rsid w:val="0050443B"/>
    <w:rsid w:val="00504CFC"/>
    <w:rsid w:val="005060D9"/>
    <w:rsid w:val="005101FD"/>
    <w:rsid w:val="005112A7"/>
    <w:rsid w:val="00512998"/>
    <w:rsid w:val="0051388C"/>
    <w:rsid w:val="00514073"/>
    <w:rsid w:val="0051519B"/>
    <w:rsid w:val="00521DBA"/>
    <w:rsid w:val="00522797"/>
    <w:rsid w:val="005227A7"/>
    <w:rsid w:val="00522E0C"/>
    <w:rsid w:val="00523201"/>
    <w:rsid w:val="005316A1"/>
    <w:rsid w:val="00532529"/>
    <w:rsid w:val="005336DD"/>
    <w:rsid w:val="00533DD4"/>
    <w:rsid w:val="00534608"/>
    <w:rsid w:val="005359D4"/>
    <w:rsid w:val="00536E88"/>
    <w:rsid w:val="005373FA"/>
    <w:rsid w:val="005377CE"/>
    <w:rsid w:val="00537CD6"/>
    <w:rsid w:val="005443FD"/>
    <w:rsid w:val="00547C9B"/>
    <w:rsid w:val="005501D1"/>
    <w:rsid w:val="00556091"/>
    <w:rsid w:val="00556E51"/>
    <w:rsid w:val="00557C1A"/>
    <w:rsid w:val="00570569"/>
    <w:rsid w:val="00571916"/>
    <w:rsid w:val="00574CC7"/>
    <w:rsid w:val="00574E2B"/>
    <w:rsid w:val="005808B5"/>
    <w:rsid w:val="0058212C"/>
    <w:rsid w:val="00585EE8"/>
    <w:rsid w:val="00587DED"/>
    <w:rsid w:val="00590D25"/>
    <w:rsid w:val="00591714"/>
    <w:rsid w:val="005924AF"/>
    <w:rsid w:val="00592DC1"/>
    <w:rsid w:val="005942CA"/>
    <w:rsid w:val="00596B3D"/>
    <w:rsid w:val="00597357"/>
    <w:rsid w:val="005A2DE0"/>
    <w:rsid w:val="005A2E61"/>
    <w:rsid w:val="005A5A1C"/>
    <w:rsid w:val="005A6C7A"/>
    <w:rsid w:val="005B2B7C"/>
    <w:rsid w:val="005B5314"/>
    <w:rsid w:val="005B6A7E"/>
    <w:rsid w:val="005C1433"/>
    <w:rsid w:val="005C545E"/>
    <w:rsid w:val="005C5ECB"/>
    <w:rsid w:val="005C6C71"/>
    <w:rsid w:val="005D1500"/>
    <w:rsid w:val="005D1C14"/>
    <w:rsid w:val="005D388B"/>
    <w:rsid w:val="005E129A"/>
    <w:rsid w:val="005E1FF1"/>
    <w:rsid w:val="005E5817"/>
    <w:rsid w:val="005E7922"/>
    <w:rsid w:val="005F1F6F"/>
    <w:rsid w:val="005F25D3"/>
    <w:rsid w:val="005F4178"/>
    <w:rsid w:val="005F6677"/>
    <w:rsid w:val="00602A71"/>
    <w:rsid w:val="00604196"/>
    <w:rsid w:val="0060530F"/>
    <w:rsid w:val="00605D03"/>
    <w:rsid w:val="00606DB4"/>
    <w:rsid w:val="006073B9"/>
    <w:rsid w:val="00607890"/>
    <w:rsid w:val="00611F03"/>
    <w:rsid w:val="00615EB6"/>
    <w:rsid w:val="0061667A"/>
    <w:rsid w:val="00616E71"/>
    <w:rsid w:val="00617963"/>
    <w:rsid w:val="00620C4C"/>
    <w:rsid w:val="00625AB2"/>
    <w:rsid w:val="00625E82"/>
    <w:rsid w:val="006263EC"/>
    <w:rsid w:val="006264DA"/>
    <w:rsid w:val="006266E5"/>
    <w:rsid w:val="00626EE7"/>
    <w:rsid w:val="00627562"/>
    <w:rsid w:val="00627B9F"/>
    <w:rsid w:val="00633D26"/>
    <w:rsid w:val="006342C6"/>
    <w:rsid w:val="0063479F"/>
    <w:rsid w:val="00635788"/>
    <w:rsid w:val="006360D8"/>
    <w:rsid w:val="006409C6"/>
    <w:rsid w:val="0064171D"/>
    <w:rsid w:val="00650D70"/>
    <w:rsid w:val="00655AB2"/>
    <w:rsid w:val="00656B5F"/>
    <w:rsid w:val="006573F1"/>
    <w:rsid w:val="00663806"/>
    <w:rsid w:val="00664F3C"/>
    <w:rsid w:val="00665A50"/>
    <w:rsid w:val="00665C72"/>
    <w:rsid w:val="00667979"/>
    <w:rsid w:val="00670BE5"/>
    <w:rsid w:val="00672B1F"/>
    <w:rsid w:val="00673490"/>
    <w:rsid w:val="006825AD"/>
    <w:rsid w:val="00684B89"/>
    <w:rsid w:val="00686C34"/>
    <w:rsid w:val="006871C9"/>
    <w:rsid w:val="00687484"/>
    <w:rsid w:val="006902D4"/>
    <w:rsid w:val="006910A3"/>
    <w:rsid w:val="00692C5D"/>
    <w:rsid w:val="00695845"/>
    <w:rsid w:val="00695F39"/>
    <w:rsid w:val="006A068C"/>
    <w:rsid w:val="006A0A2A"/>
    <w:rsid w:val="006A0AE1"/>
    <w:rsid w:val="006A4281"/>
    <w:rsid w:val="006A759B"/>
    <w:rsid w:val="006B2227"/>
    <w:rsid w:val="006B3238"/>
    <w:rsid w:val="006B66B1"/>
    <w:rsid w:val="006B72F1"/>
    <w:rsid w:val="006C3F5D"/>
    <w:rsid w:val="006C5976"/>
    <w:rsid w:val="006C71B7"/>
    <w:rsid w:val="006C764D"/>
    <w:rsid w:val="006C78A7"/>
    <w:rsid w:val="006D42BA"/>
    <w:rsid w:val="006D44A4"/>
    <w:rsid w:val="006D6F4B"/>
    <w:rsid w:val="006E00C2"/>
    <w:rsid w:val="006E2576"/>
    <w:rsid w:val="006E6E47"/>
    <w:rsid w:val="006E7EFD"/>
    <w:rsid w:val="006F00CE"/>
    <w:rsid w:val="006F0E71"/>
    <w:rsid w:val="006F1906"/>
    <w:rsid w:val="006F571A"/>
    <w:rsid w:val="006F6241"/>
    <w:rsid w:val="00700FDB"/>
    <w:rsid w:val="0070248C"/>
    <w:rsid w:val="007069AE"/>
    <w:rsid w:val="007118FA"/>
    <w:rsid w:val="0071204E"/>
    <w:rsid w:val="007123ED"/>
    <w:rsid w:val="0071373D"/>
    <w:rsid w:val="007138FD"/>
    <w:rsid w:val="00714F7E"/>
    <w:rsid w:val="0071585D"/>
    <w:rsid w:val="0071614B"/>
    <w:rsid w:val="00723476"/>
    <w:rsid w:val="00725CB5"/>
    <w:rsid w:val="007324CB"/>
    <w:rsid w:val="00732D0F"/>
    <w:rsid w:val="00734EFE"/>
    <w:rsid w:val="00736D5F"/>
    <w:rsid w:val="007406DB"/>
    <w:rsid w:val="00743E73"/>
    <w:rsid w:val="0074559A"/>
    <w:rsid w:val="00747590"/>
    <w:rsid w:val="00747C15"/>
    <w:rsid w:val="00751126"/>
    <w:rsid w:val="00751AA3"/>
    <w:rsid w:val="00753EB9"/>
    <w:rsid w:val="007605A3"/>
    <w:rsid w:val="00760E04"/>
    <w:rsid w:val="00761293"/>
    <w:rsid w:val="00762E38"/>
    <w:rsid w:val="00763626"/>
    <w:rsid w:val="007642E9"/>
    <w:rsid w:val="007660D6"/>
    <w:rsid w:val="00770E8E"/>
    <w:rsid w:val="0077145B"/>
    <w:rsid w:val="00771643"/>
    <w:rsid w:val="0077417C"/>
    <w:rsid w:val="007741F7"/>
    <w:rsid w:val="0077552A"/>
    <w:rsid w:val="007770DF"/>
    <w:rsid w:val="007809F6"/>
    <w:rsid w:val="00780D78"/>
    <w:rsid w:val="00780FF0"/>
    <w:rsid w:val="007816AE"/>
    <w:rsid w:val="007848EB"/>
    <w:rsid w:val="007865FB"/>
    <w:rsid w:val="007867EF"/>
    <w:rsid w:val="00787A64"/>
    <w:rsid w:val="007902B9"/>
    <w:rsid w:val="007963D9"/>
    <w:rsid w:val="0079663D"/>
    <w:rsid w:val="007A3409"/>
    <w:rsid w:val="007A398D"/>
    <w:rsid w:val="007A3FF6"/>
    <w:rsid w:val="007A4754"/>
    <w:rsid w:val="007A7D74"/>
    <w:rsid w:val="007B3A52"/>
    <w:rsid w:val="007B57CE"/>
    <w:rsid w:val="007B5F0F"/>
    <w:rsid w:val="007B5F66"/>
    <w:rsid w:val="007B772B"/>
    <w:rsid w:val="007C10A7"/>
    <w:rsid w:val="007C14FD"/>
    <w:rsid w:val="007C154C"/>
    <w:rsid w:val="007C1F2E"/>
    <w:rsid w:val="007C4575"/>
    <w:rsid w:val="007C6CC3"/>
    <w:rsid w:val="007D0582"/>
    <w:rsid w:val="007D110C"/>
    <w:rsid w:val="007D1DED"/>
    <w:rsid w:val="007D1EE9"/>
    <w:rsid w:val="007D3342"/>
    <w:rsid w:val="007E129F"/>
    <w:rsid w:val="007E13EF"/>
    <w:rsid w:val="007E2014"/>
    <w:rsid w:val="007E57E0"/>
    <w:rsid w:val="007E72F3"/>
    <w:rsid w:val="007E7621"/>
    <w:rsid w:val="007E7B68"/>
    <w:rsid w:val="007F12C3"/>
    <w:rsid w:val="007F1AB2"/>
    <w:rsid w:val="007F29DE"/>
    <w:rsid w:val="007F2C76"/>
    <w:rsid w:val="007F3362"/>
    <w:rsid w:val="00801A59"/>
    <w:rsid w:val="00802CF6"/>
    <w:rsid w:val="00803457"/>
    <w:rsid w:val="00803B2B"/>
    <w:rsid w:val="008055A2"/>
    <w:rsid w:val="0081086F"/>
    <w:rsid w:val="008113BB"/>
    <w:rsid w:val="00811979"/>
    <w:rsid w:val="00814CF8"/>
    <w:rsid w:val="00815D1B"/>
    <w:rsid w:val="0081629A"/>
    <w:rsid w:val="00820F71"/>
    <w:rsid w:val="008239AA"/>
    <w:rsid w:val="008257C6"/>
    <w:rsid w:val="00830383"/>
    <w:rsid w:val="00831FF0"/>
    <w:rsid w:val="00832677"/>
    <w:rsid w:val="00834A74"/>
    <w:rsid w:val="00836E84"/>
    <w:rsid w:val="00840000"/>
    <w:rsid w:val="008425C2"/>
    <w:rsid w:val="00842CE0"/>
    <w:rsid w:val="00843A46"/>
    <w:rsid w:val="00843A77"/>
    <w:rsid w:val="0084572A"/>
    <w:rsid w:val="008460FC"/>
    <w:rsid w:val="00850A9C"/>
    <w:rsid w:val="00850FA0"/>
    <w:rsid w:val="00856317"/>
    <w:rsid w:val="008612CC"/>
    <w:rsid w:val="0086224E"/>
    <w:rsid w:val="00863FAB"/>
    <w:rsid w:val="00864F40"/>
    <w:rsid w:val="00866A86"/>
    <w:rsid w:val="00866D2A"/>
    <w:rsid w:val="00870AFE"/>
    <w:rsid w:val="008711F3"/>
    <w:rsid w:val="00873727"/>
    <w:rsid w:val="00874F1B"/>
    <w:rsid w:val="00882636"/>
    <w:rsid w:val="008843BF"/>
    <w:rsid w:val="008848A4"/>
    <w:rsid w:val="00887739"/>
    <w:rsid w:val="0089031B"/>
    <w:rsid w:val="008913B2"/>
    <w:rsid w:val="00891424"/>
    <w:rsid w:val="00892F8E"/>
    <w:rsid w:val="00894B1A"/>
    <w:rsid w:val="008953BD"/>
    <w:rsid w:val="008963E0"/>
    <w:rsid w:val="008A623B"/>
    <w:rsid w:val="008A7979"/>
    <w:rsid w:val="008B3EB0"/>
    <w:rsid w:val="008B6B21"/>
    <w:rsid w:val="008C1E72"/>
    <w:rsid w:val="008C2A60"/>
    <w:rsid w:val="008C3465"/>
    <w:rsid w:val="008C41EE"/>
    <w:rsid w:val="008C73C4"/>
    <w:rsid w:val="008D071C"/>
    <w:rsid w:val="008D3500"/>
    <w:rsid w:val="008D5325"/>
    <w:rsid w:val="008D5593"/>
    <w:rsid w:val="008D790A"/>
    <w:rsid w:val="008E4DFB"/>
    <w:rsid w:val="008E7AEE"/>
    <w:rsid w:val="008F1397"/>
    <w:rsid w:val="008F320D"/>
    <w:rsid w:val="008F3AD2"/>
    <w:rsid w:val="008F41C4"/>
    <w:rsid w:val="008F45B9"/>
    <w:rsid w:val="008F462A"/>
    <w:rsid w:val="008F4EA8"/>
    <w:rsid w:val="008F568B"/>
    <w:rsid w:val="008F5FDA"/>
    <w:rsid w:val="008F62F1"/>
    <w:rsid w:val="008F67D7"/>
    <w:rsid w:val="008F6D77"/>
    <w:rsid w:val="008F7141"/>
    <w:rsid w:val="009000CE"/>
    <w:rsid w:val="00900844"/>
    <w:rsid w:val="00900FF8"/>
    <w:rsid w:val="00902FD1"/>
    <w:rsid w:val="00907482"/>
    <w:rsid w:val="00912C5B"/>
    <w:rsid w:val="00915076"/>
    <w:rsid w:val="009163A6"/>
    <w:rsid w:val="0091641C"/>
    <w:rsid w:val="0091758A"/>
    <w:rsid w:val="00917A23"/>
    <w:rsid w:val="00917C5B"/>
    <w:rsid w:val="00920207"/>
    <w:rsid w:val="009210A0"/>
    <w:rsid w:val="0092202B"/>
    <w:rsid w:val="00924DDA"/>
    <w:rsid w:val="00925A9B"/>
    <w:rsid w:val="00927A8C"/>
    <w:rsid w:val="00927E5C"/>
    <w:rsid w:val="00930EBD"/>
    <w:rsid w:val="00931681"/>
    <w:rsid w:val="0093202E"/>
    <w:rsid w:val="0093203B"/>
    <w:rsid w:val="009349CF"/>
    <w:rsid w:val="00934B8A"/>
    <w:rsid w:val="00936971"/>
    <w:rsid w:val="00936B8A"/>
    <w:rsid w:val="0094201E"/>
    <w:rsid w:val="00944B3F"/>
    <w:rsid w:val="00947C63"/>
    <w:rsid w:val="009539B0"/>
    <w:rsid w:val="00956E94"/>
    <w:rsid w:val="009579B2"/>
    <w:rsid w:val="009723ED"/>
    <w:rsid w:val="00972E4C"/>
    <w:rsid w:val="00974809"/>
    <w:rsid w:val="00976DFF"/>
    <w:rsid w:val="009770BE"/>
    <w:rsid w:val="0098276C"/>
    <w:rsid w:val="00983F91"/>
    <w:rsid w:val="00984BE9"/>
    <w:rsid w:val="0098560C"/>
    <w:rsid w:val="009877DD"/>
    <w:rsid w:val="00990B9B"/>
    <w:rsid w:val="00996D3D"/>
    <w:rsid w:val="009A1E90"/>
    <w:rsid w:val="009A2373"/>
    <w:rsid w:val="009A6474"/>
    <w:rsid w:val="009A649A"/>
    <w:rsid w:val="009B0062"/>
    <w:rsid w:val="009B132B"/>
    <w:rsid w:val="009B591A"/>
    <w:rsid w:val="009B5C8B"/>
    <w:rsid w:val="009C0793"/>
    <w:rsid w:val="009C1DE7"/>
    <w:rsid w:val="009C23C2"/>
    <w:rsid w:val="009C47B8"/>
    <w:rsid w:val="009D02AD"/>
    <w:rsid w:val="009D39CA"/>
    <w:rsid w:val="009D6406"/>
    <w:rsid w:val="009D77EF"/>
    <w:rsid w:val="009D7A95"/>
    <w:rsid w:val="009E2C7A"/>
    <w:rsid w:val="009E4556"/>
    <w:rsid w:val="009E4DC6"/>
    <w:rsid w:val="009E6DE6"/>
    <w:rsid w:val="009F0A4E"/>
    <w:rsid w:val="009F0D34"/>
    <w:rsid w:val="00A01208"/>
    <w:rsid w:val="00A052DD"/>
    <w:rsid w:val="00A073BE"/>
    <w:rsid w:val="00A11597"/>
    <w:rsid w:val="00A12979"/>
    <w:rsid w:val="00A1439A"/>
    <w:rsid w:val="00A149B1"/>
    <w:rsid w:val="00A176C3"/>
    <w:rsid w:val="00A21B96"/>
    <w:rsid w:val="00A21E15"/>
    <w:rsid w:val="00A24BDC"/>
    <w:rsid w:val="00A30DAA"/>
    <w:rsid w:val="00A322AC"/>
    <w:rsid w:val="00A33120"/>
    <w:rsid w:val="00A37F64"/>
    <w:rsid w:val="00A40E6F"/>
    <w:rsid w:val="00A473D3"/>
    <w:rsid w:val="00A47CF2"/>
    <w:rsid w:val="00A50D6A"/>
    <w:rsid w:val="00A517CF"/>
    <w:rsid w:val="00A51EBD"/>
    <w:rsid w:val="00A52A13"/>
    <w:rsid w:val="00A5628F"/>
    <w:rsid w:val="00A57097"/>
    <w:rsid w:val="00A64404"/>
    <w:rsid w:val="00A655FF"/>
    <w:rsid w:val="00A6572D"/>
    <w:rsid w:val="00A66069"/>
    <w:rsid w:val="00A703F6"/>
    <w:rsid w:val="00A75005"/>
    <w:rsid w:val="00A77261"/>
    <w:rsid w:val="00A81B80"/>
    <w:rsid w:val="00A81E13"/>
    <w:rsid w:val="00A8416A"/>
    <w:rsid w:val="00A84264"/>
    <w:rsid w:val="00A84E68"/>
    <w:rsid w:val="00A85346"/>
    <w:rsid w:val="00A979A2"/>
    <w:rsid w:val="00A97C26"/>
    <w:rsid w:val="00AA0BB4"/>
    <w:rsid w:val="00AA48AF"/>
    <w:rsid w:val="00AA5705"/>
    <w:rsid w:val="00AA5E87"/>
    <w:rsid w:val="00AA615C"/>
    <w:rsid w:val="00AB3E3F"/>
    <w:rsid w:val="00AB3EE5"/>
    <w:rsid w:val="00AB4051"/>
    <w:rsid w:val="00AB453E"/>
    <w:rsid w:val="00AB4893"/>
    <w:rsid w:val="00AB7192"/>
    <w:rsid w:val="00AC1619"/>
    <w:rsid w:val="00AC4B9B"/>
    <w:rsid w:val="00AC4DE5"/>
    <w:rsid w:val="00AC4ECA"/>
    <w:rsid w:val="00AD278C"/>
    <w:rsid w:val="00AD3EDB"/>
    <w:rsid w:val="00AE0C55"/>
    <w:rsid w:val="00AE0F76"/>
    <w:rsid w:val="00AE14E2"/>
    <w:rsid w:val="00AE37BD"/>
    <w:rsid w:val="00AE3B89"/>
    <w:rsid w:val="00AE465D"/>
    <w:rsid w:val="00AE4ADD"/>
    <w:rsid w:val="00AE63FE"/>
    <w:rsid w:val="00AF05FA"/>
    <w:rsid w:val="00AF3C84"/>
    <w:rsid w:val="00AF4369"/>
    <w:rsid w:val="00AF54D2"/>
    <w:rsid w:val="00AF5873"/>
    <w:rsid w:val="00AF5C89"/>
    <w:rsid w:val="00B03BBA"/>
    <w:rsid w:val="00B053A8"/>
    <w:rsid w:val="00B1065B"/>
    <w:rsid w:val="00B178A8"/>
    <w:rsid w:val="00B21DFE"/>
    <w:rsid w:val="00B23828"/>
    <w:rsid w:val="00B23FA3"/>
    <w:rsid w:val="00B26BE5"/>
    <w:rsid w:val="00B26FD2"/>
    <w:rsid w:val="00B30AEF"/>
    <w:rsid w:val="00B330DB"/>
    <w:rsid w:val="00B33D94"/>
    <w:rsid w:val="00B35408"/>
    <w:rsid w:val="00B37570"/>
    <w:rsid w:val="00B435AB"/>
    <w:rsid w:val="00B4492D"/>
    <w:rsid w:val="00B50D3A"/>
    <w:rsid w:val="00B511E2"/>
    <w:rsid w:val="00B5136C"/>
    <w:rsid w:val="00B546A9"/>
    <w:rsid w:val="00B54F66"/>
    <w:rsid w:val="00B606FB"/>
    <w:rsid w:val="00B6356A"/>
    <w:rsid w:val="00B66E7E"/>
    <w:rsid w:val="00B712AA"/>
    <w:rsid w:val="00B7167C"/>
    <w:rsid w:val="00B71B9F"/>
    <w:rsid w:val="00B72BB4"/>
    <w:rsid w:val="00B74010"/>
    <w:rsid w:val="00B74F46"/>
    <w:rsid w:val="00B77964"/>
    <w:rsid w:val="00B77B17"/>
    <w:rsid w:val="00B801ED"/>
    <w:rsid w:val="00B8124C"/>
    <w:rsid w:val="00B81547"/>
    <w:rsid w:val="00B820FA"/>
    <w:rsid w:val="00B91DA0"/>
    <w:rsid w:val="00B924E8"/>
    <w:rsid w:val="00B92FBC"/>
    <w:rsid w:val="00B9400D"/>
    <w:rsid w:val="00B94D0F"/>
    <w:rsid w:val="00B95978"/>
    <w:rsid w:val="00B95F93"/>
    <w:rsid w:val="00BA34CE"/>
    <w:rsid w:val="00BA3BB3"/>
    <w:rsid w:val="00BA3FBC"/>
    <w:rsid w:val="00BA589B"/>
    <w:rsid w:val="00BA62DB"/>
    <w:rsid w:val="00BB1C50"/>
    <w:rsid w:val="00BB2187"/>
    <w:rsid w:val="00BB248F"/>
    <w:rsid w:val="00BB26A1"/>
    <w:rsid w:val="00BB42EB"/>
    <w:rsid w:val="00BB5BA7"/>
    <w:rsid w:val="00BB6AF3"/>
    <w:rsid w:val="00BC24DC"/>
    <w:rsid w:val="00BC28FC"/>
    <w:rsid w:val="00BC4124"/>
    <w:rsid w:val="00BC51ED"/>
    <w:rsid w:val="00BC6B81"/>
    <w:rsid w:val="00BC6E81"/>
    <w:rsid w:val="00BD1D8D"/>
    <w:rsid w:val="00BD1F16"/>
    <w:rsid w:val="00BD37E0"/>
    <w:rsid w:val="00BD3DBD"/>
    <w:rsid w:val="00BD6486"/>
    <w:rsid w:val="00BD73A7"/>
    <w:rsid w:val="00BE0148"/>
    <w:rsid w:val="00BE1375"/>
    <w:rsid w:val="00BE2C3D"/>
    <w:rsid w:val="00BE465B"/>
    <w:rsid w:val="00BE75D4"/>
    <w:rsid w:val="00BF0FD4"/>
    <w:rsid w:val="00BF3289"/>
    <w:rsid w:val="00BF510A"/>
    <w:rsid w:val="00BF59E0"/>
    <w:rsid w:val="00BF7F28"/>
    <w:rsid w:val="00C00010"/>
    <w:rsid w:val="00C00D87"/>
    <w:rsid w:val="00C033C8"/>
    <w:rsid w:val="00C06237"/>
    <w:rsid w:val="00C07787"/>
    <w:rsid w:val="00C13729"/>
    <w:rsid w:val="00C162EB"/>
    <w:rsid w:val="00C175ED"/>
    <w:rsid w:val="00C26529"/>
    <w:rsid w:val="00C26B1F"/>
    <w:rsid w:val="00C273BB"/>
    <w:rsid w:val="00C27707"/>
    <w:rsid w:val="00C30BD6"/>
    <w:rsid w:val="00C31E21"/>
    <w:rsid w:val="00C336F5"/>
    <w:rsid w:val="00C35D71"/>
    <w:rsid w:val="00C37541"/>
    <w:rsid w:val="00C425D2"/>
    <w:rsid w:val="00C514E9"/>
    <w:rsid w:val="00C56686"/>
    <w:rsid w:val="00C56799"/>
    <w:rsid w:val="00C56E9F"/>
    <w:rsid w:val="00C572C1"/>
    <w:rsid w:val="00C576D1"/>
    <w:rsid w:val="00C62E32"/>
    <w:rsid w:val="00C6331A"/>
    <w:rsid w:val="00C640DC"/>
    <w:rsid w:val="00C65E22"/>
    <w:rsid w:val="00C73525"/>
    <w:rsid w:val="00C7518F"/>
    <w:rsid w:val="00C7689E"/>
    <w:rsid w:val="00C81204"/>
    <w:rsid w:val="00C84364"/>
    <w:rsid w:val="00C861E7"/>
    <w:rsid w:val="00C86D9B"/>
    <w:rsid w:val="00C911FE"/>
    <w:rsid w:val="00C9362A"/>
    <w:rsid w:val="00C94441"/>
    <w:rsid w:val="00C9543B"/>
    <w:rsid w:val="00C95A45"/>
    <w:rsid w:val="00C976E5"/>
    <w:rsid w:val="00C97EFA"/>
    <w:rsid w:val="00CA28DB"/>
    <w:rsid w:val="00CA455C"/>
    <w:rsid w:val="00CA4662"/>
    <w:rsid w:val="00CA531B"/>
    <w:rsid w:val="00CA7832"/>
    <w:rsid w:val="00CA7F7B"/>
    <w:rsid w:val="00CB2CAB"/>
    <w:rsid w:val="00CB56FA"/>
    <w:rsid w:val="00CB592A"/>
    <w:rsid w:val="00CB6594"/>
    <w:rsid w:val="00CC5160"/>
    <w:rsid w:val="00CC5E09"/>
    <w:rsid w:val="00CC61BC"/>
    <w:rsid w:val="00CC710C"/>
    <w:rsid w:val="00CD2132"/>
    <w:rsid w:val="00CD22C3"/>
    <w:rsid w:val="00CD4FCD"/>
    <w:rsid w:val="00CD69FA"/>
    <w:rsid w:val="00CD70A9"/>
    <w:rsid w:val="00CE104E"/>
    <w:rsid w:val="00CE1B65"/>
    <w:rsid w:val="00CF00E6"/>
    <w:rsid w:val="00CF06F6"/>
    <w:rsid w:val="00CF41D3"/>
    <w:rsid w:val="00CF5F4E"/>
    <w:rsid w:val="00CF718B"/>
    <w:rsid w:val="00D002FB"/>
    <w:rsid w:val="00D03985"/>
    <w:rsid w:val="00D06D03"/>
    <w:rsid w:val="00D10C98"/>
    <w:rsid w:val="00D12AA8"/>
    <w:rsid w:val="00D130E5"/>
    <w:rsid w:val="00D132B4"/>
    <w:rsid w:val="00D13961"/>
    <w:rsid w:val="00D14CFA"/>
    <w:rsid w:val="00D1780E"/>
    <w:rsid w:val="00D2044A"/>
    <w:rsid w:val="00D2394E"/>
    <w:rsid w:val="00D30EF3"/>
    <w:rsid w:val="00D32271"/>
    <w:rsid w:val="00D33645"/>
    <w:rsid w:val="00D34034"/>
    <w:rsid w:val="00D37705"/>
    <w:rsid w:val="00D37E3D"/>
    <w:rsid w:val="00D4044D"/>
    <w:rsid w:val="00D4059D"/>
    <w:rsid w:val="00D41102"/>
    <w:rsid w:val="00D41E5A"/>
    <w:rsid w:val="00D41F44"/>
    <w:rsid w:val="00D4305A"/>
    <w:rsid w:val="00D43A29"/>
    <w:rsid w:val="00D43B5B"/>
    <w:rsid w:val="00D5094D"/>
    <w:rsid w:val="00D530FA"/>
    <w:rsid w:val="00D54F0B"/>
    <w:rsid w:val="00D568ED"/>
    <w:rsid w:val="00D65DF6"/>
    <w:rsid w:val="00D67BF5"/>
    <w:rsid w:val="00D74210"/>
    <w:rsid w:val="00D75254"/>
    <w:rsid w:val="00D75AB7"/>
    <w:rsid w:val="00D77507"/>
    <w:rsid w:val="00D81778"/>
    <w:rsid w:val="00D87369"/>
    <w:rsid w:val="00D878EC"/>
    <w:rsid w:val="00D90EB7"/>
    <w:rsid w:val="00D91BE5"/>
    <w:rsid w:val="00D93CF2"/>
    <w:rsid w:val="00D95F19"/>
    <w:rsid w:val="00DA2B4D"/>
    <w:rsid w:val="00DA5738"/>
    <w:rsid w:val="00DA759E"/>
    <w:rsid w:val="00DB012E"/>
    <w:rsid w:val="00DB773A"/>
    <w:rsid w:val="00DC064F"/>
    <w:rsid w:val="00DC0DD8"/>
    <w:rsid w:val="00DC1825"/>
    <w:rsid w:val="00DC24FF"/>
    <w:rsid w:val="00DC6C11"/>
    <w:rsid w:val="00DC6C93"/>
    <w:rsid w:val="00DC7083"/>
    <w:rsid w:val="00DD08A3"/>
    <w:rsid w:val="00DD0FAC"/>
    <w:rsid w:val="00DD1B5F"/>
    <w:rsid w:val="00DD270A"/>
    <w:rsid w:val="00DD2DE5"/>
    <w:rsid w:val="00DD3F0F"/>
    <w:rsid w:val="00DD7270"/>
    <w:rsid w:val="00DE0B01"/>
    <w:rsid w:val="00DE196B"/>
    <w:rsid w:val="00DE2F06"/>
    <w:rsid w:val="00DE4169"/>
    <w:rsid w:val="00DE772E"/>
    <w:rsid w:val="00DE79FB"/>
    <w:rsid w:val="00DF161C"/>
    <w:rsid w:val="00DF2749"/>
    <w:rsid w:val="00DF3EA0"/>
    <w:rsid w:val="00DF466B"/>
    <w:rsid w:val="00DF5276"/>
    <w:rsid w:val="00DF6C98"/>
    <w:rsid w:val="00E01144"/>
    <w:rsid w:val="00E01411"/>
    <w:rsid w:val="00E03CF3"/>
    <w:rsid w:val="00E051AB"/>
    <w:rsid w:val="00E0520E"/>
    <w:rsid w:val="00E0695E"/>
    <w:rsid w:val="00E07FF9"/>
    <w:rsid w:val="00E10A4D"/>
    <w:rsid w:val="00E10DD2"/>
    <w:rsid w:val="00E11162"/>
    <w:rsid w:val="00E13752"/>
    <w:rsid w:val="00E155F4"/>
    <w:rsid w:val="00E2231A"/>
    <w:rsid w:val="00E22BFD"/>
    <w:rsid w:val="00E22F3D"/>
    <w:rsid w:val="00E23C90"/>
    <w:rsid w:val="00E2430F"/>
    <w:rsid w:val="00E24A2C"/>
    <w:rsid w:val="00E25D50"/>
    <w:rsid w:val="00E26006"/>
    <w:rsid w:val="00E27BCE"/>
    <w:rsid w:val="00E31886"/>
    <w:rsid w:val="00E31D91"/>
    <w:rsid w:val="00E32AD7"/>
    <w:rsid w:val="00E334D7"/>
    <w:rsid w:val="00E4011C"/>
    <w:rsid w:val="00E414D1"/>
    <w:rsid w:val="00E44600"/>
    <w:rsid w:val="00E46AFC"/>
    <w:rsid w:val="00E46CC3"/>
    <w:rsid w:val="00E50E87"/>
    <w:rsid w:val="00E51EFF"/>
    <w:rsid w:val="00E54652"/>
    <w:rsid w:val="00E54F1F"/>
    <w:rsid w:val="00E60380"/>
    <w:rsid w:val="00E624FE"/>
    <w:rsid w:val="00E6649C"/>
    <w:rsid w:val="00E67116"/>
    <w:rsid w:val="00E71D9C"/>
    <w:rsid w:val="00E726FA"/>
    <w:rsid w:val="00E7386C"/>
    <w:rsid w:val="00E75DC5"/>
    <w:rsid w:val="00E75F68"/>
    <w:rsid w:val="00E76EA9"/>
    <w:rsid w:val="00E80AA7"/>
    <w:rsid w:val="00E819A3"/>
    <w:rsid w:val="00E85192"/>
    <w:rsid w:val="00E863DC"/>
    <w:rsid w:val="00E86CA0"/>
    <w:rsid w:val="00E86DA6"/>
    <w:rsid w:val="00E872F8"/>
    <w:rsid w:val="00E90E64"/>
    <w:rsid w:val="00E953B6"/>
    <w:rsid w:val="00E96BC6"/>
    <w:rsid w:val="00E96CDA"/>
    <w:rsid w:val="00EA2E11"/>
    <w:rsid w:val="00EA47B0"/>
    <w:rsid w:val="00EA6265"/>
    <w:rsid w:val="00EB021D"/>
    <w:rsid w:val="00EB32E5"/>
    <w:rsid w:val="00EB39F1"/>
    <w:rsid w:val="00EB4483"/>
    <w:rsid w:val="00EB4F41"/>
    <w:rsid w:val="00EC0921"/>
    <w:rsid w:val="00EC0DC3"/>
    <w:rsid w:val="00EC4DF0"/>
    <w:rsid w:val="00EC53C5"/>
    <w:rsid w:val="00ED3814"/>
    <w:rsid w:val="00ED67A0"/>
    <w:rsid w:val="00ED6C8C"/>
    <w:rsid w:val="00ED77E6"/>
    <w:rsid w:val="00ED7865"/>
    <w:rsid w:val="00EE10DD"/>
    <w:rsid w:val="00EE1120"/>
    <w:rsid w:val="00EE3ABD"/>
    <w:rsid w:val="00EE635D"/>
    <w:rsid w:val="00EE6C02"/>
    <w:rsid w:val="00EF18C0"/>
    <w:rsid w:val="00EF4C2F"/>
    <w:rsid w:val="00F01738"/>
    <w:rsid w:val="00F01744"/>
    <w:rsid w:val="00F0688C"/>
    <w:rsid w:val="00F11D62"/>
    <w:rsid w:val="00F12FAB"/>
    <w:rsid w:val="00F131A6"/>
    <w:rsid w:val="00F14037"/>
    <w:rsid w:val="00F153EC"/>
    <w:rsid w:val="00F15D61"/>
    <w:rsid w:val="00F16460"/>
    <w:rsid w:val="00F2045B"/>
    <w:rsid w:val="00F206FA"/>
    <w:rsid w:val="00F23F73"/>
    <w:rsid w:val="00F243F4"/>
    <w:rsid w:val="00F24C6E"/>
    <w:rsid w:val="00F256B5"/>
    <w:rsid w:val="00F25C66"/>
    <w:rsid w:val="00F30219"/>
    <w:rsid w:val="00F31B24"/>
    <w:rsid w:val="00F3505E"/>
    <w:rsid w:val="00F408F1"/>
    <w:rsid w:val="00F425B6"/>
    <w:rsid w:val="00F459CC"/>
    <w:rsid w:val="00F46512"/>
    <w:rsid w:val="00F47251"/>
    <w:rsid w:val="00F51D81"/>
    <w:rsid w:val="00F57A6D"/>
    <w:rsid w:val="00F61D5A"/>
    <w:rsid w:val="00F70C22"/>
    <w:rsid w:val="00F73BAD"/>
    <w:rsid w:val="00F76C32"/>
    <w:rsid w:val="00F7781B"/>
    <w:rsid w:val="00F86A83"/>
    <w:rsid w:val="00F87508"/>
    <w:rsid w:val="00F87E26"/>
    <w:rsid w:val="00F94A28"/>
    <w:rsid w:val="00F97618"/>
    <w:rsid w:val="00FA1D4F"/>
    <w:rsid w:val="00FA1DD5"/>
    <w:rsid w:val="00FA3F2A"/>
    <w:rsid w:val="00FA4840"/>
    <w:rsid w:val="00FA49A2"/>
    <w:rsid w:val="00FA5F3C"/>
    <w:rsid w:val="00FA6325"/>
    <w:rsid w:val="00FB11D5"/>
    <w:rsid w:val="00FB1541"/>
    <w:rsid w:val="00FB41C7"/>
    <w:rsid w:val="00FB5657"/>
    <w:rsid w:val="00FB7A71"/>
    <w:rsid w:val="00FC2554"/>
    <w:rsid w:val="00FC2768"/>
    <w:rsid w:val="00FC2CAD"/>
    <w:rsid w:val="00FC3305"/>
    <w:rsid w:val="00FC4CD0"/>
    <w:rsid w:val="00FC573C"/>
    <w:rsid w:val="00FC62A5"/>
    <w:rsid w:val="00FC65AE"/>
    <w:rsid w:val="00FC75BA"/>
    <w:rsid w:val="00FD03CD"/>
    <w:rsid w:val="00FD206E"/>
    <w:rsid w:val="00FD67BA"/>
    <w:rsid w:val="00FD6D86"/>
    <w:rsid w:val="00FE04D5"/>
    <w:rsid w:val="00FE0546"/>
    <w:rsid w:val="00FE16EE"/>
    <w:rsid w:val="00FE1A0B"/>
    <w:rsid w:val="00FE7123"/>
    <w:rsid w:val="00FF0D96"/>
    <w:rsid w:val="00FF13D4"/>
    <w:rsid w:val="00FF3AA2"/>
    <w:rsid w:val="00FF790A"/>
    <w:rsid w:val="331D8A21"/>
    <w:rsid w:val="3F71AF11"/>
    <w:rsid w:val="714DFD86"/>
    <w:rsid w:val="75205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42380"/>
  <w15:docId w15:val="{93F01C4A-4DFD-4651-A19E-ADFAEDC8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57C1A"/>
    <w:pPr>
      <w:spacing w:after="120"/>
    </w:pPr>
    <w:rPr>
      <w:rFonts w:ascii="Calibri" w:hAnsi="Calibri"/>
      <w:sz w:val="22"/>
      <w:szCs w:val="24"/>
      <w:lang w:eastAsia="en-US"/>
    </w:rPr>
  </w:style>
  <w:style w:type="paragraph" w:styleId="Heading1">
    <w:name w:val="heading 1"/>
    <w:basedOn w:val="Normal"/>
    <w:next w:val="Normal"/>
    <w:link w:val="Heading1Char"/>
    <w:qFormat/>
    <w:rsid w:val="00780D78"/>
    <w:pPr>
      <w:keepNext/>
      <w:spacing w:before="240" w:after="60"/>
      <w:outlineLvl w:val="0"/>
    </w:pPr>
    <w:rPr>
      <w:rFonts w:ascii="Arial Bold" w:hAnsi="Arial Bold" w:cs="Arial"/>
      <w:b/>
      <w:bCs/>
      <w:color w:val="96BC4D"/>
      <w:kern w:val="32"/>
      <w:sz w:val="32"/>
      <w:szCs w:val="32"/>
    </w:rPr>
  </w:style>
  <w:style w:type="paragraph" w:styleId="Heading2">
    <w:name w:val="heading 2"/>
    <w:basedOn w:val="Normal"/>
    <w:next w:val="Normal"/>
    <w:link w:val="Heading2Char"/>
    <w:uiPriority w:val="9"/>
    <w:qFormat/>
    <w:rsid w:val="00BD6486"/>
    <w:pPr>
      <w:keepNext/>
      <w:spacing w:before="240" w:after="240"/>
      <w:outlineLvl w:val="1"/>
    </w:pPr>
    <w:rPr>
      <w:rFonts w:ascii="Arial Bold" w:hAnsi="Arial Bold"/>
      <w:b/>
      <w:bCs/>
      <w:iCs/>
      <w:color w:val="2C7890"/>
      <w:sz w:val="28"/>
      <w:szCs w:val="28"/>
      <w:lang w:eastAsia="en-AU"/>
    </w:rPr>
  </w:style>
  <w:style w:type="paragraph" w:styleId="Heading3">
    <w:name w:val="heading 3"/>
    <w:basedOn w:val="Subhead"/>
    <w:next w:val="Normal"/>
    <w:link w:val="Heading3Char"/>
    <w:uiPriority w:val="9"/>
    <w:qFormat/>
    <w:rsid w:val="00A073BE"/>
    <w:pPr>
      <w:outlineLvl w:val="2"/>
    </w:pPr>
    <w:rPr>
      <w:sz w:val="22"/>
      <w:szCs w:val="20"/>
      <w:lang w:eastAsia="en-AU"/>
    </w:rPr>
  </w:style>
  <w:style w:type="paragraph" w:styleId="Heading4">
    <w:name w:val="heading 4"/>
    <w:basedOn w:val="Normal"/>
    <w:next w:val="Normal"/>
    <w:link w:val="Heading4Char"/>
    <w:uiPriority w:val="9"/>
    <w:qFormat/>
    <w:rsid w:val="00FE7123"/>
    <w:pPr>
      <w:keepNext/>
      <w:keepLines/>
      <w:spacing w:before="120" w:after="60"/>
      <w:jc w:val="both"/>
      <w:outlineLvl w:val="3"/>
    </w:pPr>
    <w:rPr>
      <w:b/>
      <w:bCs/>
      <w:i/>
      <w:iCs/>
      <w:color w:val="4F81BD"/>
      <w:szCs w:val="22"/>
    </w:rPr>
  </w:style>
  <w:style w:type="paragraph" w:styleId="Heading5">
    <w:name w:val="heading 5"/>
    <w:basedOn w:val="Normal"/>
    <w:next w:val="Normal"/>
    <w:link w:val="Heading5Char"/>
    <w:uiPriority w:val="9"/>
    <w:unhideWhenUsed/>
    <w:qFormat/>
    <w:locked/>
    <w:rsid w:val="002E196A"/>
    <w:pPr>
      <w:keepNext/>
      <w:keepLines/>
      <w:spacing w:before="40" w:after="0" w:line="276" w:lineRule="auto"/>
      <w:outlineLvl w:val="4"/>
    </w:pPr>
    <w:rPr>
      <w:rFonts w:asciiTheme="majorHAnsi" w:eastAsiaTheme="majorEastAsia" w:hAnsiTheme="majorHAnsi" w:cstheme="majorBidi"/>
      <w:color w:val="365F91" w:themeColor="accent1" w:themeShade="BF"/>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80D78"/>
    <w:rPr>
      <w:rFonts w:ascii="Arial Bold" w:hAnsi="Arial Bold" w:cs="Times New Roman"/>
      <w:b/>
      <w:color w:val="96BC4D"/>
      <w:kern w:val="32"/>
      <w:sz w:val="32"/>
      <w:lang w:val="en-AU" w:eastAsia="en-US"/>
    </w:rPr>
  </w:style>
  <w:style w:type="character" w:customStyle="1" w:styleId="Heading2Char">
    <w:name w:val="Heading 2 Char"/>
    <w:link w:val="Heading2"/>
    <w:uiPriority w:val="9"/>
    <w:locked/>
    <w:rsid w:val="00BD6486"/>
    <w:rPr>
      <w:rFonts w:ascii="Arial Bold" w:hAnsi="Arial Bold"/>
      <w:b/>
      <w:bCs/>
      <w:iCs/>
      <w:color w:val="2C7890"/>
      <w:sz w:val="28"/>
      <w:szCs w:val="28"/>
    </w:rPr>
  </w:style>
  <w:style w:type="character" w:customStyle="1" w:styleId="Heading3Char">
    <w:name w:val="Heading 3 Char"/>
    <w:link w:val="Heading3"/>
    <w:uiPriority w:val="9"/>
    <w:locked/>
    <w:rsid w:val="00A073BE"/>
    <w:rPr>
      <w:rFonts w:ascii="Calibri" w:hAnsi="Calibri"/>
      <w:b/>
      <w:color w:val="2C7890"/>
      <w:sz w:val="22"/>
    </w:rPr>
  </w:style>
  <w:style w:type="character" w:customStyle="1" w:styleId="Heading4Char">
    <w:name w:val="Heading 4 Char"/>
    <w:link w:val="Heading4"/>
    <w:uiPriority w:val="9"/>
    <w:locked/>
    <w:rsid w:val="00FE7123"/>
    <w:rPr>
      <w:rFonts w:ascii="Calibri" w:hAnsi="Calibri"/>
      <w:b/>
      <w:bCs/>
      <w:i/>
      <w:iCs/>
      <w:color w:val="4F81BD"/>
      <w:sz w:val="22"/>
      <w:szCs w:val="22"/>
      <w:lang w:eastAsia="en-US"/>
    </w:rPr>
  </w:style>
  <w:style w:type="paragraph" w:styleId="Header">
    <w:name w:val="header"/>
    <w:basedOn w:val="Normal"/>
    <w:link w:val="HeaderChar"/>
    <w:uiPriority w:val="99"/>
    <w:rsid w:val="00780D78"/>
    <w:pPr>
      <w:tabs>
        <w:tab w:val="center" w:pos="4320"/>
        <w:tab w:val="right" w:pos="8640"/>
      </w:tabs>
    </w:pPr>
    <w:rPr>
      <w:sz w:val="24"/>
    </w:rPr>
  </w:style>
  <w:style w:type="character" w:customStyle="1" w:styleId="HeaderChar">
    <w:name w:val="Header Char"/>
    <w:link w:val="Header"/>
    <w:uiPriority w:val="99"/>
    <w:locked/>
    <w:rsid w:val="00780D78"/>
    <w:rPr>
      <w:rFonts w:ascii="Calibri" w:hAnsi="Calibri" w:cs="Times New Roman"/>
      <w:sz w:val="24"/>
      <w:lang w:val="en-AU" w:eastAsia="en-US"/>
    </w:rPr>
  </w:style>
  <w:style w:type="paragraph" w:styleId="Footer">
    <w:name w:val="footer"/>
    <w:basedOn w:val="Normal"/>
    <w:link w:val="FooterChar"/>
    <w:uiPriority w:val="99"/>
    <w:rsid w:val="00780D78"/>
    <w:pPr>
      <w:tabs>
        <w:tab w:val="center" w:pos="4320"/>
        <w:tab w:val="right" w:pos="8640"/>
      </w:tabs>
    </w:pPr>
    <w:rPr>
      <w:sz w:val="24"/>
    </w:rPr>
  </w:style>
  <w:style w:type="character" w:customStyle="1" w:styleId="FooterChar">
    <w:name w:val="Footer Char"/>
    <w:link w:val="Footer"/>
    <w:uiPriority w:val="99"/>
    <w:locked/>
    <w:rsid w:val="00780D78"/>
    <w:rPr>
      <w:rFonts w:ascii="Calibri" w:hAnsi="Calibri" w:cs="Times New Roman"/>
      <w:sz w:val="24"/>
      <w:lang w:val="en-AU" w:eastAsia="en-US"/>
    </w:rPr>
  </w:style>
  <w:style w:type="paragraph" w:styleId="TOC2">
    <w:name w:val="toc 2"/>
    <w:basedOn w:val="Normal"/>
    <w:next w:val="Normal"/>
    <w:autoRedefine/>
    <w:uiPriority w:val="39"/>
    <w:rsid w:val="00780D78"/>
    <w:pPr>
      <w:ind w:left="240"/>
    </w:pPr>
  </w:style>
  <w:style w:type="character" w:styleId="Hyperlink">
    <w:name w:val="Hyperlink"/>
    <w:uiPriority w:val="99"/>
    <w:rsid w:val="00625AB2"/>
    <w:rPr>
      <w:rFonts w:cs="Times New Roman"/>
      <w:color w:val="2C7890"/>
      <w:u w:val="single"/>
    </w:rPr>
  </w:style>
  <w:style w:type="paragraph" w:styleId="Title">
    <w:name w:val="Title"/>
    <w:basedOn w:val="Normal"/>
    <w:link w:val="TitleChar"/>
    <w:qFormat/>
    <w:rsid w:val="007D0582"/>
    <w:pPr>
      <w:spacing w:before="240" w:after="60"/>
      <w:jc w:val="center"/>
    </w:pPr>
    <w:rPr>
      <w:rFonts w:ascii="Arial" w:hAnsi="Arial"/>
      <w:b/>
      <w:bCs/>
      <w:color w:val="2C7890"/>
      <w:kern w:val="28"/>
      <w:sz w:val="52"/>
      <w:szCs w:val="52"/>
      <w:lang w:eastAsia="en-AU"/>
    </w:rPr>
  </w:style>
  <w:style w:type="character" w:customStyle="1" w:styleId="TitleChar">
    <w:name w:val="Title Char"/>
    <w:link w:val="Title"/>
    <w:locked/>
    <w:rsid w:val="007D0582"/>
    <w:rPr>
      <w:rFonts w:ascii="Arial" w:hAnsi="Arial"/>
      <w:b/>
      <w:bCs/>
      <w:color w:val="2C7890"/>
      <w:kern w:val="28"/>
      <w:sz w:val="52"/>
      <w:szCs w:val="52"/>
      <w:lang w:val="en-AU" w:eastAsia="en-AU" w:bidi="ar-SA"/>
    </w:rPr>
  </w:style>
  <w:style w:type="character" w:styleId="PageNumber">
    <w:name w:val="page number"/>
    <w:rsid w:val="00780D78"/>
    <w:rPr>
      <w:rFonts w:cs="Times New Roman"/>
    </w:rPr>
  </w:style>
  <w:style w:type="paragraph" w:styleId="BodyText">
    <w:name w:val="Body Text"/>
    <w:basedOn w:val="Normal"/>
    <w:link w:val="BodyTextChar"/>
    <w:rsid w:val="00780D78"/>
    <w:rPr>
      <w:sz w:val="24"/>
    </w:rPr>
  </w:style>
  <w:style w:type="character" w:customStyle="1" w:styleId="BodyTextChar">
    <w:name w:val="Body Text Char"/>
    <w:link w:val="BodyText"/>
    <w:locked/>
    <w:rsid w:val="00780D78"/>
    <w:rPr>
      <w:rFonts w:ascii="Calibri" w:hAnsi="Calibri" w:cs="Times New Roman"/>
      <w:sz w:val="24"/>
      <w:lang w:val="en-AU" w:eastAsia="en-US"/>
    </w:rPr>
  </w:style>
  <w:style w:type="paragraph" w:styleId="NormalWeb">
    <w:name w:val="Normal (Web)"/>
    <w:basedOn w:val="Normal"/>
    <w:uiPriority w:val="99"/>
    <w:rsid w:val="00780D78"/>
    <w:pPr>
      <w:spacing w:before="100" w:beforeAutospacing="1" w:after="100" w:afterAutospacing="1"/>
    </w:pPr>
    <w:rPr>
      <w:rFonts w:ascii="Times New Roman" w:hAnsi="Times New Roman"/>
      <w:lang w:eastAsia="en-AU"/>
    </w:rPr>
  </w:style>
  <w:style w:type="character" w:styleId="Emphasis">
    <w:name w:val="Emphasis"/>
    <w:uiPriority w:val="20"/>
    <w:qFormat/>
    <w:rsid w:val="00780D78"/>
    <w:rPr>
      <w:rFonts w:cs="Times New Roman"/>
      <w:i/>
    </w:rPr>
  </w:style>
  <w:style w:type="paragraph" w:styleId="TOC3">
    <w:name w:val="toc 3"/>
    <w:basedOn w:val="Normal"/>
    <w:next w:val="Normal"/>
    <w:autoRedefine/>
    <w:uiPriority w:val="39"/>
    <w:rsid w:val="00780D78"/>
    <w:pPr>
      <w:ind w:left="480"/>
    </w:pPr>
  </w:style>
  <w:style w:type="paragraph" w:styleId="BalloonText">
    <w:name w:val="Balloon Text"/>
    <w:basedOn w:val="Normal"/>
    <w:link w:val="BalloonTextChar"/>
    <w:uiPriority w:val="99"/>
    <w:semiHidden/>
    <w:rsid w:val="00780D78"/>
    <w:rPr>
      <w:rFonts w:ascii="Tahoma" w:hAnsi="Tahoma" w:cs="Tahoma"/>
      <w:sz w:val="16"/>
      <w:szCs w:val="16"/>
    </w:rPr>
  </w:style>
  <w:style w:type="character" w:customStyle="1" w:styleId="BalloonTextChar">
    <w:name w:val="Balloon Text Char"/>
    <w:link w:val="BalloonText"/>
    <w:uiPriority w:val="99"/>
    <w:semiHidden/>
    <w:locked/>
    <w:rsid w:val="00FC3305"/>
    <w:rPr>
      <w:rFonts w:cs="Times New Roman"/>
      <w:sz w:val="2"/>
      <w:lang w:val="x-none" w:eastAsia="en-US"/>
    </w:rPr>
  </w:style>
  <w:style w:type="character" w:styleId="CommentReference">
    <w:name w:val="annotation reference"/>
    <w:uiPriority w:val="99"/>
    <w:rsid w:val="00780D78"/>
    <w:rPr>
      <w:rFonts w:cs="Times New Roman"/>
      <w:sz w:val="16"/>
    </w:rPr>
  </w:style>
  <w:style w:type="paragraph" w:styleId="CommentText">
    <w:name w:val="annotation text"/>
    <w:basedOn w:val="Normal"/>
    <w:link w:val="CommentTextChar"/>
    <w:uiPriority w:val="99"/>
    <w:rsid w:val="00780D78"/>
    <w:rPr>
      <w:sz w:val="20"/>
      <w:szCs w:val="20"/>
      <w:lang w:eastAsia="en-AU"/>
    </w:rPr>
  </w:style>
  <w:style w:type="character" w:customStyle="1" w:styleId="CommentTextChar">
    <w:name w:val="Comment Text Char"/>
    <w:link w:val="CommentText"/>
    <w:uiPriority w:val="99"/>
    <w:locked/>
    <w:rsid w:val="00D12AA8"/>
    <w:rPr>
      <w:rFonts w:ascii="Calibri" w:hAnsi="Calibri" w:cs="Times New Roman"/>
    </w:rPr>
  </w:style>
  <w:style w:type="paragraph" w:styleId="CommentSubject">
    <w:name w:val="annotation subject"/>
    <w:basedOn w:val="CommentText"/>
    <w:next w:val="CommentText"/>
    <w:link w:val="CommentSubjectChar"/>
    <w:uiPriority w:val="99"/>
    <w:semiHidden/>
    <w:rsid w:val="00780D78"/>
    <w:rPr>
      <w:b/>
      <w:bCs/>
    </w:rPr>
  </w:style>
  <w:style w:type="character" w:customStyle="1" w:styleId="CommentSubjectChar">
    <w:name w:val="Comment Subject Char"/>
    <w:link w:val="CommentSubject"/>
    <w:uiPriority w:val="99"/>
    <w:semiHidden/>
    <w:locked/>
    <w:rsid w:val="00FC3305"/>
    <w:rPr>
      <w:rFonts w:ascii="Helvetica Neue" w:hAnsi="Helvetica Neue" w:cs="Times New Roman"/>
      <w:b/>
      <w:bCs/>
      <w:sz w:val="20"/>
      <w:szCs w:val="20"/>
      <w:lang w:val="x-none" w:eastAsia="en-US"/>
    </w:rPr>
  </w:style>
  <w:style w:type="character" w:customStyle="1" w:styleId="A5">
    <w:name w:val="A5"/>
    <w:rsid w:val="00780D78"/>
    <w:rPr>
      <w:color w:val="000000"/>
      <w:sz w:val="20"/>
    </w:rPr>
  </w:style>
  <w:style w:type="character" w:styleId="FollowedHyperlink">
    <w:name w:val="FollowedHyperlink"/>
    <w:uiPriority w:val="99"/>
    <w:rsid w:val="00780D78"/>
    <w:rPr>
      <w:rFonts w:cs="Times New Roman"/>
      <w:color w:val="800080"/>
      <w:u w:val="single"/>
    </w:rPr>
  </w:style>
  <w:style w:type="paragraph" w:customStyle="1" w:styleId="Consultationtext">
    <w:name w:val="Consultationtext"/>
    <w:basedOn w:val="Normal"/>
    <w:link w:val="ConsultationtextChar"/>
    <w:rsid w:val="00780D78"/>
    <w:pPr>
      <w:pBdr>
        <w:top w:val="single" w:sz="4" w:space="1" w:color="auto"/>
        <w:left w:val="single" w:sz="4" w:space="4" w:color="auto"/>
        <w:bottom w:val="single" w:sz="4" w:space="1" w:color="auto"/>
        <w:right w:val="single" w:sz="4" w:space="4" w:color="auto"/>
      </w:pBdr>
      <w:spacing w:before="240" w:after="240" w:line="270" w:lineRule="atLeast"/>
      <w:jc w:val="both"/>
    </w:pPr>
    <w:rPr>
      <w:rFonts w:ascii="Arial" w:hAnsi="Arial"/>
      <w:i/>
      <w:sz w:val="24"/>
      <w:szCs w:val="20"/>
      <w:lang w:eastAsia="en-AU"/>
    </w:rPr>
  </w:style>
  <w:style w:type="paragraph" w:styleId="ListBullet">
    <w:name w:val="List Bullet"/>
    <w:basedOn w:val="Normal"/>
    <w:rsid w:val="0035370A"/>
    <w:pPr>
      <w:numPr>
        <w:numId w:val="1"/>
      </w:numPr>
      <w:ind w:left="360" w:hanging="360"/>
      <w:jc w:val="both"/>
    </w:pPr>
  </w:style>
  <w:style w:type="character" w:customStyle="1" w:styleId="ConsultationtextChar">
    <w:name w:val="Consultationtext Char"/>
    <w:link w:val="Consultationtext"/>
    <w:locked/>
    <w:rsid w:val="00780D78"/>
    <w:rPr>
      <w:rFonts w:ascii="Arial" w:hAnsi="Arial"/>
      <w:i/>
      <w:sz w:val="24"/>
      <w:lang w:val="en-AU" w:eastAsia="en-AU"/>
    </w:rPr>
  </w:style>
  <w:style w:type="paragraph" w:customStyle="1" w:styleId="Subhead">
    <w:name w:val="Subhead"/>
    <w:basedOn w:val="BodyText"/>
    <w:rsid w:val="00780D78"/>
    <w:pPr>
      <w:spacing w:after="0"/>
    </w:pPr>
    <w:rPr>
      <w:b/>
      <w:color w:val="2C7890"/>
    </w:rPr>
  </w:style>
  <w:style w:type="paragraph" w:customStyle="1" w:styleId="Headingunnumbered">
    <w:name w:val="Heading unnumbered"/>
    <w:basedOn w:val="Normal"/>
    <w:rsid w:val="00780D78"/>
    <w:pPr>
      <w:spacing w:before="240" w:after="240" w:line="270" w:lineRule="atLeast"/>
    </w:pPr>
    <w:rPr>
      <w:rFonts w:ascii="Arial" w:hAnsi="Arial"/>
      <w:i/>
      <w:lang w:eastAsia="en-AU"/>
    </w:rPr>
  </w:style>
  <w:style w:type="paragraph" w:customStyle="1" w:styleId="Numberedparas">
    <w:name w:val="Numbered paras"/>
    <w:basedOn w:val="Normal"/>
    <w:rsid w:val="00780D78"/>
    <w:pPr>
      <w:widowControl w:val="0"/>
      <w:spacing w:before="240" w:after="240" w:line="270" w:lineRule="atLeast"/>
      <w:ind w:left="720" w:hanging="720"/>
      <w:jc w:val="both"/>
      <w:outlineLvl w:val="1"/>
    </w:pPr>
    <w:rPr>
      <w:rFonts w:ascii="Arial" w:hAnsi="Arial"/>
      <w:lang w:eastAsia="en-AU"/>
    </w:rPr>
  </w:style>
  <w:style w:type="paragraph" w:customStyle="1" w:styleId="Question">
    <w:name w:val="Question"/>
    <w:basedOn w:val="BodyText"/>
    <w:rsid w:val="00780D78"/>
    <w:pPr>
      <w:pBdr>
        <w:top w:val="dotted" w:sz="4" w:space="1" w:color="808080"/>
        <w:left w:val="dotted" w:sz="4" w:space="4" w:color="808080"/>
        <w:bottom w:val="dotted" w:sz="4" w:space="1" w:color="808080"/>
        <w:right w:val="dotted" w:sz="4" w:space="4" w:color="808080"/>
      </w:pBdr>
      <w:shd w:val="clear" w:color="auto" w:fill="AFDAE7"/>
    </w:pPr>
  </w:style>
  <w:style w:type="paragraph" w:styleId="DocumentMap">
    <w:name w:val="Document Map"/>
    <w:basedOn w:val="Normal"/>
    <w:link w:val="DocumentMapChar"/>
    <w:rsid w:val="00780D78"/>
    <w:rPr>
      <w:rFonts w:ascii="Lucida Grande" w:hAnsi="Lucida Grande"/>
      <w:sz w:val="24"/>
    </w:rPr>
  </w:style>
  <w:style w:type="character" w:customStyle="1" w:styleId="DocumentMapChar">
    <w:name w:val="Document Map Char"/>
    <w:link w:val="DocumentMap"/>
    <w:locked/>
    <w:rsid w:val="00780D78"/>
    <w:rPr>
      <w:rFonts w:ascii="Lucida Grande" w:hAnsi="Lucida Grande" w:cs="Times New Roman"/>
      <w:sz w:val="24"/>
      <w:szCs w:val="24"/>
    </w:rPr>
  </w:style>
  <w:style w:type="paragraph" w:styleId="TOC1">
    <w:name w:val="toc 1"/>
    <w:basedOn w:val="Normal"/>
    <w:next w:val="Normal"/>
    <w:autoRedefine/>
    <w:uiPriority w:val="39"/>
    <w:rsid w:val="00780D78"/>
  </w:style>
  <w:style w:type="paragraph" w:styleId="ListParagraph">
    <w:name w:val="List Paragraph"/>
    <w:basedOn w:val="Normal"/>
    <w:uiPriority w:val="34"/>
    <w:qFormat/>
    <w:rsid w:val="00D12AA8"/>
    <w:pPr>
      <w:ind w:left="720"/>
      <w:contextualSpacing/>
      <w:jc w:val="both"/>
    </w:pPr>
    <w:rPr>
      <w:rFonts w:eastAsia="STFangsong"/>
      <w:szCs w:val="22"/>
    </w:rPr>
  </w:style>
  <w:style w:type="paragraph" w:customStyle="1" w:styleId="Bulletedlist">
    <w:name w:val="Bulleted list"/>
    <w:basedOn w:val="Normal"/>
    <w:rsid w:val="00D12AA8"/>
    <w:pPr>
      <w:tabs>
        <w:tab w:val="num" w:pos="720"/>
      </w:tabs>
      <w:ind w:left="720" w:hanging="360"/>
      <w:jc w:val="both"/>
    </w:pPr>
    <w:rPr>
      <w:rFonts w:eastAsia="STFangsong"/>
      <w:szCs w:val="22"/>
    </w:rPr>
  </w:style>
  <w:style w:type="character" w:customStyle="1" w:styleId="CharChar7">
    <w:name w:val="Char Char7"/>
    <w:locked/>
    <w:rsid w:val="00D12AA8"/>
    <w:rPr>
      <w:rFonts w:ascii="Helvetica Neue" w:eastAsia="STFangsong" w:hAnsi="Helvetica Neue"/>
      <w:b/>
      <w:sz w:val="26"/>
      <w:lang w:val="en-AU" w:eastAsia="en-US"/>
    </w:rPr>
  </w:style>
  <w:style w:type="character" w:customStyle="1" w:styleId="CharChar6">
    <w:name w:val="Char Char6"/>
    <w:locked/>
    <w:rsid w:val="00D12AA8"/>
    <w:rPr>
      <w:rFonts w:ascii="Helvetica Neue" w:hAnsi="Helvetica Neue"/>
      <w:b/>
      <w:smallCaps/>
      <w:sz w:val="26"/>
      <w:lang w:val="en-AU" w:eastAsia="en-US"/>
    </w:rPr>
  </w:style>
  <w:style w:type="character" w:customStyle="1" w:styleId="CharChar5">
    <w:name w:val="Char Char5"/>
    <w:locked/>
    <w:rsid w:val="00D12AA8"/>
    <w:rPr>
      <w:rFonts w:ascii="Helvetica Neue" w:hAnsi="Helvetica Neue"/>
      <w:i/>
      <w:sz w:val="22"/>
      <w:lang w:val="en-AU" w:eastAsia="en-US"/>
    </w:rPr>
  </w:style>
  <w:style w:type="character" w:customStyle="1" w:styleId="CharChar4">
    <w:name w:val="Char Char4"/>
    <w:locked/>
    <w:rsid w:val="00D12AA8"/>
    <w:rPr>
      <w:rFonts w:ascii="Helvetica Neue" w:hAnsi="Helvetica Neue"/>
      <w:b/>
      <w:i/>
      <w:color w:val="4F81BD"/>
      <w:sz w:val="22"/>
      <w:lang w:val="en-AU" w:eastAsia="en-US"/>
    </w:rPr>
  </w:style>
  <w:style w:type="character" w:customStyle="1" w:styleId="CharChar3">
    <w:name w:val="Char Char3"/>
    <w:locked/>
    <w:rsid w:val="00D12AA8"/>
    <w:rPr>
      <w:rFonts w:ascii="Helvetica Neue Black Condensed" w:hAnsi="Helvetica Neue Black Condensed"/>
      <w:sz w:val="60"/>
      <w:lang w:val="en-AU" w:eastAsia="en-US"/>
    </w:rPr>
  </w:style>
  <w:style w:type="character" w:customStyle="1" w:styleId="CharChar2">
    <w:name w:val="Char Char2"/>
    <w:locked/>
    <w:rsid w:val="00D12AA8"/>
    <w:rPr>
      <w:rFonts w:ascii="Helvetica Neue" w:eastAsia="STFangsong" w:hAnsi="Helvetica Neue"/>
      <w:sz w:val="22"/>
      <w:lang w:val="en-AU" w:eastAsia="en-US"/>
    </w:rPr>
  </w:style>
  <w:style w:type="character" w:customStyle="1" w:styleId="CharChar1">
    <w:name w:val="Char Char1"/>
    <w:semiHidden/>
    <w:locked/>
    <w:rsid w:val="00D12AA8"/>
    <w:rPr>
      <w:rFonts w:ascii="Helvetica Neue" w:eastAsia="STFangsong" w:hAnsi="Helvetica Neue"/>
      <w:lang w:val="en-AU" w:eastAsia="en-US"/>
    </w:rPr>
  </w:style>
  <w:style w:type="paragraph" w:styleId="TOC4">
    <w:name w:val="toc 4"/>
    <w:basedOn w:val="Normal"/>
    <w:next w:val="Normal"/>
    <w:autoRedefine/>
    <w:rsid w:val="00D12AA8"/>
    <w:pPr>
      <w:spacing w:after="0"/>
      <w:ind w:left="720"/>
    </w:pPr>
    <w:rPr>
      <w:rFonts w:ascii="Times New Roman" w:eastAsia="STFangsong" w:hAnsi="Times New Roman"/>
      <w:sz w:val="20"/>
      <w:szCs w:val="20"/>
    </w:rPr>
  </w:style>
  <w:style w:type="paragraph" w:styleId="TOC5">
    <w:name w:val="toc 5"/>
    <w:basedOn w:val="Normal"/>
    <w:next w:val="Normal"/>
    <w:autoRedefine/>
    <w:rsid w:val="00D12AA8"/>
    <w:pPr>
      <w:spacing w:after="0"/>
      <w:ind w:left="960"/>
    </w:pPr>
    <w:rPr>
      <w:rFonts w:ascii="Times New Roman" w:eastAsia="STFangsong" w:hAnsi="Times New Roman"/>
      <w:sz w:val="20"/>
      <w:szCs w:val="20"/>
    </w:rPr>
  </w:style>
  <w:style w:type="paragraph" w:styleId="TOC6">
    <w:name w:val="toc 6"/>
    <w:basedOn w:val="Normal"/>
    <w:next w:val="Normal"/>
    <w:autoRedefine/>
    <w:rsid w:val="00D12AA8"/>
    <w:pPr>
      <w:spacing w:after="0"/>
      <w:ind w:left="1200"/>
    </w:pPr>
    <w:rPr>
      <w:rFonts w:ascii="Times New Roman" w:eastAsia="STFangsong" w:hAnsi="Times New Roman"/>
      <w:sz w:val="20"/>
      <w:szCs w:val="20"/>
    </w:rPr>
  </w:style>
  <w:style w:type="paragraph" w:styleId="TOC7">
    <w:name w:val="toc 7"/>
    <w:basedOn w:val="Normal"/>
    <w:next w:val="Normal"/>
    <w:autoRedefine/>
    <w:rsid w:val="00D12AA8"/>
    <w:pPr>
      <w:spacing w:after="0"/>
      <w:ind w:left="1440"/>
    </w:pPr>
    <w:rPr>
      <w:rFonts w:ascii="Times New Roman" w:eastAsia="STFangsong" w:hAnsi="Times New Roman"/>
      <w:sz w:val="20"/>
      <w:szCs w:val="20"/>
    </w:rPr>
  </w:style>
  <w:style w:type="paragraph" w:styleId="TOC8">
    <w:name w:val="toc 8"/>
    <w:basedOn w:val="Normal"/>
    <w:next w:val="Normal"/>
    <w:autoRedefine/>
    <w:rsid w:val="00D12AA8"/>
    <w:pPr>
      <w:spacing w:after="0"/>
      <w:ind w:left="1680"/>
    </w:pPr>
    <w:rPr>
      <w:rFonts w:ascii="Times New Roman" w:eastAsia="STFangsong" w:hAnsi="Times New Roman"/>
      <w:sz w:val="20"/>
      <w:szCs w:val="20"/>
    </w:rPr>
  </w:style>
  <w:style w:type="paragraph" w:styleId="TOC9">
    <w:name w:val="toc 9"/>
    <w:basedOn w:val="Normal"/>
    <w:next w:val="Normal"/>
    <w:autoRedefine/>
    <w:rsid w:val="00D12AA8"/>
    <w:pPr>
      <w:spacing w:after="0"/>
      <w:ind w:left="1920"/>
    </w:pPr>
    <w:rPr>
      <w:rFonts w:ascii="Times New Roman" w:eastAsia="STFangsong" w:hAnsi="Times New Roman"/>
      <w:sz w:val="20"/>
      <w:szCs w:val="20"/>
    </w:rPr>
  </w:style>
  <w:style w:type="paragraph" w:customStyle="1" w:styleId="Heading2A">
    <w:name w:val="Heading 2 A"/>
    <w:next w:val="Normal"/>
    <w:rsid w:val="00D12AA8"/>
    <w:pPr>
      <w:keepNext/>
      <w:spacing w:before="240" w:after="60"/>
      <w:outlineLvl w:val="1"/>
    </w:pPr>
    <w:rPr>
      <w:rFonts w:ascii="Verdana Bold Italic" w:eastAsia="?????? Pro W3" w:hAnsi="Verdana Bold Italic"/>
      <w:color w:val="000000"/>
      <w:sz w:val="28"/>
      <w:szCs w:val="24"/>
      <w:lang w:eastAsia="en-US"/>
    </w:rPr>
  </w:style>
  <w:style w:type="paragraph" w:styleId="Quote">
    <w:name w:val="Quote"/>
    <w:basedOn w:val="Normal"/>
    <w:link w:val="QuoteChar"/>
    <w:qFormat/>
    <w:rsid w:val="00D12AA8"/>
    <w:pPr>
      <w:spacing w:after="0"/>
      <w:ind w:left="397"/>
      <w:jc w:val="both"/>
    </w:pPr>
    <w:rPr>
      <w:rFonts w:ascii="Arial" w:hAnsi="Arial" w:cs="Arial"/>
      <w:szCs w:val="22"/>
      <w:lang w:eastAsia="en-AU"/>
    </w:rPr>
  </w:style>
  <w:style w:type="character" w:customStyle="1" w:styleId="QuoteChar">
    <w:name w:val="Quote Char"/>
    <w:link w:val="Quote"/>
    <w:locked/>
    <w:rsid w:val="00D12AA8"/>
    <w:rPr>
      <w:rFonts w:ascii="Arial" w:hAnsi="Arial" w:cs="Arial"/>
      <w:sz w:val="22"/>
      <w:szCs w:val="22"/>
      <w:lang w:val="x-none" w:eastAsia="en-AU"/>
    </w:rPr>
  </w:style>
  <w:style w:type="paragraph" w:styleId="PlainText">
    <w:name w:val="Plain Text"/>
    <w:basedOn w:val="Normal"/>
    <w:next w:val="Normal"/>
    <w:link w:val="PlainTextChar"/>
    <w:rsid w:val="00D12AA8"/>
    <w:pPr>
      <w:spacing w:after="0"/>
      <w:jc w:val="both"/>
    </w:pPr>
    <w:rPr>
      <w:rFonts w:ascii="Courier New" w:eastAsia="STFangsong" w:hAnsi="Courier New" w:cs="Courier New"/>
      <w:sz w:val="20"/>
      <w:szCs w:val="20"/>
    </w:rPr>
  </w:style>
  <w:style w:type="character" w:customStyle="1" w:styleId="PlainTextChar">
    <w:name w:val="Plain Text Char"/>
    <w:link w:val="PlainText"/>
    <w:locked/>
    <w:rsid w:val="00D12AA8"/>
    <w:rPr>
      <w:rFonts w:ascii="Courier New" w:eastAsia="STFangsong" w:hAnsi="Courier New" w:cs="Courier New"/>
    </w:rPr>
  </w:style>
  <w:style w:type="table" w:styleId="TableGrid8">
    <w:name w:val="Table Grid 8"/>
    <w:basedOn w:val="TableNormal"/>
    <w:rsid w:val="00D12AA8"/>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rsid w:val="00D12AA8"/>
    <w:pPr>
      <w:jc w:val="both"/>
    </w:pPr>
    <w:rPr>
      <w:rFonts w:eastAsia="STFangsong"/>
      <w:sz w:val="20"/>
      <w:szCs w:val="20"/>
    </w:rPr>
  </w:style>
  <w:style w:type="character" w:customStyle="1" w:styleId="FootnoteTextChar">
    <w:name w:val="Footnote Text Char"/>
    <w:link w:val="FootnoteText"/>
    <w:locked/>
    <w:rsid w:val="00D12AA8"/>
    <w:rPr>
      <w:rFonts w:ascii="Helvetica Neue" w:eastAsia="STFangsong" w:hAnsi="Helvetica Neue" w:cs="Times New Roman"/>
    </w:rPr>
  </w:style>
  <w:style w:type="character" w:styleId="FootnoteReference">
    <w:name w:val="footnote reference"/>
    <w:rsid w:val="00D12AA8"/>
    <w:rPr>
      <w:rFonts w:cs="Times New Roman"/>
      <w:vertAlign w:val="superscript"/>
    </w:rPr>
  </w:style>
  <w:style w:type="table" w:styleId="TableGrid">
    <w:name w:val="Table Grid"/>
    <w:basedOn w:val="TableNormal"/>
    <w:uiPriority w:val="39"/>
    <w:rsid w:val="00D12AA8"/>
    <w:pPr>
      <w:spacing w:before="120" w:after="120"/>
      <w:jc w:val="both"/>
    </w:pPr>
    <w:tblPr>
      <w:tblBorders>
        <w:top w:val="single" w:sz="4" w:space="0" w:color="auto"/>
        <w:left w:val="single" w:sz="4" w:space="0" w:color="auto"/>
        <w:bottom w:val="single" w:sz="4" w:space="0" w:color="auto"/>
        <w:right w:val="single" w:sz="4" w:space="0" w:color="auto"/>
      </w:tblBorders>
    </w:tblPr>
  </w:style>
  <w:style w:type="table" w:styleId="TableGrid1">
    <w:name w:val="Table Grid 1"/>
    <w:basedOn w:val="TableNormal"/>
    <w:rsid w:val="00D12AA8"/>
    <w:pPr>
      <w:spacing w:before="120" w:after="120"/>
      <w:jc w:val="both"/>
    </w:pPr>
    <w:tblPr>
      <w:tblBorders>
        <w:top w:val="single" w:sz="6" w:space="0" w:color="000000"/>
        <w:left w:val="single" w:sz="6" w:space="0" w:color="000000"/>
        <w:bottom w:val="single" w:sz="6" w:space="0" w:color="000000"/>
        <w:right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NoSpacing">
    <w:name w:val="No Spacing"/>
    <w:link w:val="NoSpacingChar"/>
    <w:uiPriority w:val="1"/>
    <w:qFormat/>
    <w:rsid w:val="00D12AA8"/>
    <w:rPr>
      <w:rFonts w:ascii="PMingLiU" w:eastAsia="PMingLiU"/>
      <w:sz w:val="22"/>
      <w:szCs w:val="22"/>
      <w:lang w:val="en-US" w:eastAsia="en-US"/>
    </w:rPr>
  </w:style>
  <w:style w:type="character" w:customStyle="1" w:styleId="NoSpacingChar">
    <w:name w:val="No Spacing Char"/>
    <w:link w:val="NoSpacing"/>
    <w:locked/>
    <w:rsid w:val="00D12AA8"/>
    <w:rPr>
      <w:rFonts w:ascii="PMingLiU" w:eastAsia="PMingLiU" w:cs="Times New Roman"/>
      <w:sz w:val="22"/>
      <w:szCs w:val="22"/>
      <w:lang w:val="en-US" w:eastAsia="en-US" w:bidi="ar-SA"/>
    </w:rPr>
  </w:style>
  <w:style w:type="paragraph" w:customStyle="1" w:styleId="Heading1noTOC">
    <w:name w:val="Heading1noTOC"/>
    <w:basedOn w:val="Heading1"/>
    <w:rsid w:val="000B5EE2"/>
    <w:pPr>
      <w:jc w:val="center"/>
    </w:pPr>
    <w:rPr>
      <w:color w:val="333333"/>
    </w:rPr>
  </w:style>
  <w:style w:type="numbering" w:styleId="111111">
    <w:name w:val="Outline List 2"/>
    <w:basedOn w:val="NoList"/>
    <w:rsid w:val="009F28E0"/>
    <w:pPr>
      <w:numPr>
        <w:numId w:val="3"/>
      </w:numPr>
    </w:pPr>
  </w:style>
  <w:style w:type="numbering" w:customStyle="1" w:styleId="Headings">
    <w:name w:val="Headings"/>
    <w:rsid w:val="009F28E0"/>
    <w:pPr>
      <w:numPr>
        <w:numId w:val="4"/>
      </w:numPr>
    </w:pPr>
  </w:style>
  <w:style w:type="numbering" w:customStyle="1" w:styleId="StyleOutlinenumbered">
    <w:name w:val="Style Outline numbered"/>
    <w:rsid w:val="009F28E0"/>
    <w:pPr>
      <w:numPr>
        <w:numId w:val="5"/>
      </w:numPr>
    </w:pPr>
  </w:style>
  <w:style w:type="numbering" w:customStyle="1" w:styleId="CurrentList1">
    <w:name w:val="Current List1"/>
    <w:rsid w:val="009F28E0"/>
    <w:pPr>
      <w:numPr>
        <w:numId w:val="2"/>
      </w:numPr>
    </w:pPr>
  </w:style>
  <w:style w:type="numbering" w:customStyle="1" w:styleId="List1">
    <w:name w:val="List 1"/>
    <w:rsid w:val="009F28E0"/>
    <w:pPr>
      <w:numPr>
        <w:numId w:val="6"/>
      </w:numPr>
    </w:pPr>
  </w:style>
  <w:style w:type="paragraph" w:customStyle="1" w:styleId="Maintext">
    <w:name w:val="Main text"/>
    <w:basedOn w:val="Normal"/>
    <w:link w:val="MaintextCharChar"/>
    <w:rsid w:val="00AF5873"/>
    <w:pPr>
      <w:spacing w:after="0"/>
    </w:pPr>
    <w:rPr>
      <w:rFonts w:ascii="Arial" w:hAnsi="Arial"/>
      <w:lang w:eastAsia="en-AU"/>
    </w:rPr>
  </w:style>
  <w:style w:type="character" w:customStyle="1" w:styleId="MaintextCharChar">
    <w:name w:val="Main text Char Char"/>
    <w:link w:val="Maintext"/>
    <w:rsid w:val="00AF5873"/>
    <w:rPr>
      <w:rFonts w:ascii="Arial" w:hAnsi="Arial"/>
      <w:sz w:val="22"/>
      <w:szCs w:val="24"/>
      <w:lang w:val="en-AU" w:eastAsia="en-AU" w:bidi="ar-SA"/>
    </w:rPr>
  </w:style>
  <w:style w:type="paragraph" w:customStyle="1" w:styleId="Head1">
    <w:name w:val="Head 1"/>
    <w:basedOn w:val="Normal"/>
    <w:next w:val="Maintext"/>
    <w:rsid w:val="00AF5873"/>
    <w:pPr>
      <w:keepNext/>
      <w:spacing w:after="220"/>
      <w:outlineLvl w:val="0"/>
    </w:pPr>
    <w:rPr>
      <w:rFonts w:ascii="Arial" w:hAnsi="Arial" w:cs="Arial"/>
      <w:caps/>
      <w:kern w:val="36"/>
      <w:sz w:val="36"/>
      <w:szCs w:val="36"/>
      <w:lang w:eastAsia="en-AU"/>
    </w:rPr>
  </w:style>
  <w:style w:type="paragraph" w:customStyle="1" w:styleId="Head3">
    <w:name w:val="Head 3"/>
    <w:basedOn w:val="Normal"/>
    <w:next w:val="Maintext"/>
    <w:rsid w:val="00AF5873"/>
    <w:pPr>
      <w:keepNext/>
      <w:spacing w:before="360" w:after="220"/>
      <w:outlineLvl w:val="2"/>
    </w:pPr>
    <w:rPr>
      <w:rFonts w:ascii="Arial" w:hAnsi="Arial" w:cs="Arial"/>
      <w:b/>
      <w:sz w:val="24"/>
      <w:lang w:eastAsia="en-AU"/>
    </w:rPr>
  </w:style>
  <w:style w:type="paragraph" w:customStyle="1" w:styleId="Head4">
    <w:name w:val="Head 4"/>
    <w:basedOn w:val="Normal"/>
    <w:next w:val="Maintext"/>
    <w:rsid w:val="00AF5873"/>
    <w:pPr>
      <w:keepNext/>
      <w:spacing w:before="280" w:after="220"/>
      <w:outlineLvl w:val="3"/>
    </w:pPr>
    <w:rPr>
      <w:rFonts w:ascii="Arial" w:hAnsi="Arial" w:cs="Arial"/>
      <w:b/>
      <w:szCs w:val="22"/>
      <w:lang w:eastAsia="en-AU"/>
    </w:rPr>
  </w:style>
  <w:style w:type="paragraph" w:customStyle="1" w:styleId="Bullet1">
    <w:name w:val="Bullet 1"/>
    <w:basedOn w:val="Normal"/>
    <w:rsid w:val="0030628D"/>
    <w:pPr>
      <w:numPr>
        <w:numId w:val="7"/>
      </w:numPr>
      <w:spacing w:before="60" w:after="60"/>
    </w:pPr>
    <w:rPr>
      <w:rFonts w:ascii="Arial" w:hAnsi="Arial"/>
      <w:lang w:eastAsia="en-AU"/>
    </w:rPr>
  </w:style>
  <w:style w:type="paragraph" w:customStyle="1" w:styleId="Bullet2">
    <w:name w:val="Bullet 2"/>
    <w:basedOn w:val="Normal"/>
    <w:rsid w:val="0030628D"/>
    <w:pPr>
      <w:numPr>
        <w:ilvl w:val="1"/>
        <w:numId w:val="7"/>
      </w:numPr>
      <w:spacing w:before="60" w:after="60"/>
    </w:pPr>
    <w:rPr>
      <w:rFonts w:ascii="Arial" w:hAnsi="Arial"/>
      <w:lang w:eastAsia="en-AU"/>
    </w:rPr>
  </w:style>
  <w:style w:type="paragraph" w:styleId="TOCHeading">
    <w:name w:val="TOC Heading"/>
    <w:basedOn w:val="Heading1"/>
    <w:next w:val="Normal"/>
    <w:uiPriority w:val="39"/>
    <w:semiHidden/>
    <w:unhideWhenUsed/>
    <w:qFormat/>
    <w:rsid w:val="000B1B26"/>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Revision">
    <w:name w:val="Revision"/>
    <w:hidden/>
    <w:uiPriority w:val="99"/>
    <w:semiHidden/>
    <w:rsid w:val="007B772B"/>
    <w:rPr>
      <w:rFonts w:ascii="Calibri" w:hAnsi="Calibri"/>
      <w:sz w:val="22"/>
      <w:szCs w:val="24"/>
      <w:lang w:eastAsia="en-US"/>
    </w:rPr>
  </w:style>
  <w:style w:type="character" w:customStyle="1" w:styleId="Mention1">
    <w:name w:val="Mention1"/>
    <w:basedOn w:val="DefaultParagraphFont"/>
    <w:uiPriority w:val="99"/>
    <w:semiHidden/>
    <w:unhideWhenUsed/>
    <w:rsid w:val="00054CC9"/>
    <w:rPr>
      <w:color w:val="2B579A"/>
      <w:shd w:val="clear" w:color="auto" w:fill="E6E6E6"/>
    </w:rPr>
  </w:style>
  <w:style w:type="table" w:customStyle="1" w:styleId="TableGrid10">
    <w:name w:val="Table Grid1"/>
    <w:basedOn w:val="TableNormal"/>
    <w:next w:val="TableGrid"/>
    <w:uiPriority w:val="39"/>
    <w:rsid w:val="008460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E196A"/>
    <w:rPr>
      <w:rFonts w:asciiTheme="majorHAnsi" w:eastAsiaTheme="majorEastAsia" w:hAnsiTheme="majorHAnsi" w:cstheme="majorBidi"/>
      <w:color w:val="365F91" w:themeColor="accent1" w:themeShade="BF"/>
      <w:sz w:val="22"/>
      <w:szCs w:val="22"/>
      <w:lang w:val="en-GB" w:eastAsia="en-US"/>
    </w:rPr>
  </w:style>
  <w:style w:type="numbering" w:customStyle="1" w:styleId="NoList1">
    <w:name w:val="No List1"/>
    <w:next w:val="NoList"/>
    <w:uiPriority w:val="99"/>
    <w:semiHidden/>
    <w:unhideWhenUsed/>
    <w:rsid w:val="002E196A"/>
  </w:style>
  <w:style w:type="paragraph" w:customStyle="1" w:styleId="PolicyNumber">
    <w:name w:val="PolicyNumber"/>
    <w:basedOn w:val="Normal"/>
    <w:rsid w:val="002E196A"/>
    <w:pPr>
      <w:spacing w:before="120"/>
    </w:pPr>
    <w:rPr>
      <w:rFonts w:ascii="Arial" w:hAnsi="Arial" w:cs="Verdana"/>
      <w:color w:val="000000"/>
      <w:sz w:val="24"/>
      <w:lang w:eastAsia="en-AU"/>
    </w:rPr>
  </w:style>
  <w:style w:type="table" w:customStyle="1" w:styleId="TableGrid2">
    <w:name w:val="Table Grid2"/>
    <w:basedOn w:val="TableNormal"/>
    <w:next w:val="TableGrid"/>
    <w:uiPriority w:val="59"/>
    <w:rsid w:val="002E19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19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E196A"/>
    <w:rPr>
      <w:smallCaps/>
      <w:color w:val="C0504D" w:themeColor="accent2"/>
      <w:sz w:val="22"/>
      <w:u w:val="single"/>
    </w:rPr>
  </w:style>
  <w:style w:type="character" w:styleId="IntenseReference">
    <w:name w:val="Intense Reference"/>
    <w:basedOn w:val="DefaultParagraphFont"/>
    <w:uiPriority w:val="32"/>
    <w:qFormat/>
    <w:rsid w:val="002E196A"/>
    <w:rPr>
      <w:b/>
      <w:bCs/>
      <w:smallCaps/>
      <w:color w:val="C0504D" w:themeColor="accent2"/>
      <w:spacing w:val="5"/>
      <w:sz w:val="24"/>
      <w:u w:val="none"/>
    </w:rPr>
  </w:style>
  <w:style w:type="paragraph" w:customStyle="1" w:styleId="BodyText1">
    <w:name w:val="Body Text1"/>
    <w:basedOn w:val="Normal"/>
    <w:qFormat/>
    <w:rsid w:val="002E196A"/>
    <w:pPr>
      <w:spacing w:before="200" w:after="200"/>
    </w:pPr>
    <w:rPr>
      <w:sz w:val="24"/>
      <w:lang w:val="en-US"/>
    </w:rPr>
  </w:style>
  <w:style w:type="paragraph" w:customStyle="1" w:styleId="BodyText2">
    <w:name w:val="Body Text2"/>
    <w:basedOn w:val="Normal"/>
    <w:qFormat/>
    <w:rsid w:val="002E196A"/>
    <w:pPr>
      <w:spacing w:before="200" w:after="200"/>
    </w:pPr>
    <w:rPr>
      <w:sz w:val="24"/>
      <w:lang w:val="en-US"/>
    </w:rPr>
  </w:style>
  <w:style w:type="paragraph" w:customStyle="1" w:styleId="Body">
    <w:name w:val="Body"/>
    <w:basedOn w:val="Normal"/>
    <w:qFormat/>
    <w:rsid w:val="002E196A"/>
    <w:pPr>
      <w:spacing w:before="120"/>
    </w:pPr>
    <w:rPr>
      <w:rFonts w:eastAsia="Calibri"/>
      <w:sz w:val="24"/>
      <w:lang w:val="en-US"/>
    </w:rPr>
  </w:style>
  <w:style w:type="table" w:customStyle="1" w:styleId="TableGrid3">
    <w:name w:val="Table Grid3"/>
    <w:basedOn w:val="TableNormal"/>
    <w:next w:val="TableGrid"/>
    <w:uiPriority w:val="59"/>
    <w:rsid w:val="007755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63626"/>
    <w:rPr>
      <w:color w:val="2B579A"/>
      <w:shd w:val="clear" w:color="auto" w:fill="E6E6E6"/>
    </w:rPr>
  </w:style>
  <w:style w:type="character" w:customStyle="1" w:styleId="UnresolvedMention1">
    <w:name w:val="Unresolved Mention1"/>
    <w:basedOn w:val="DefaultParagraphFont"/>
    <w:uiPriority w:val="99"/>
    <w:semiHidden/>
    <w:unhideWhenUsed/>
    <w:rsid w:val="003E3BA1"/>
    <w:rPr>
      <w:color w:val="605E5C"/>
      <w:shd w:val="clear" w:color="auto" w:fill="E1DFDD"/>
    </w:rPr>
  </w:style>
  <w:style w:type="character" w:customStyle="1" w:styleId="UnresolvedMention2">
    <w:name w:val="Unresolved Mention2"/>
    <w:basedOn w:val="DefaultParagraphFont"/>
    <w:uiPriority w:val="99"/>
    <w:semiHidden/>
    <w:unhideWhenUsed/>
    <w:rsid w:val="000B3F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9011860">
      <w:bodyDiv w:val="1"/>
      <w:marLeft w:val="0"/>
      <w:marRight w:val="0"/>
      <w:marTop w:val="0"/>
      <w:marBottom w:val="0"/>
      <w:divBdr>
        <w:top w:val="none" w:sz="0" w:space="0" w:color="auto"/>
        <w:left w:val="none" w:sz="0" w:space="0" w:color="auto"/>
        <w:bottom w:val="none" w:sz="0" w:space="0" w:color="auto"/>
        <w:right w:val="none" w:sz="0" w:space="0" w:color="auto"/>
      </w:divBdr>
    </w:div>
    <w:div w:id="47144248">
      <w:bodyDiv w:val="1"/>
      <w:marLeft w:val="0"/>
      <w:marRight w:val="0"/>
      <w:marTop w:val="0"/>
      <w:marBottom w:val="0"/>
      <w:divBdr>
        <w:top w:val="none" w:sz="0" w:space="0" w:color="auto"/>
        <w:left w:val="none" w:sz="0" w:space="0" w:color="auto"/>
        <w:bottom w:val="none" w:sz="0" w:space="0" w:color="auto"/>
        <w:right w:val="none" w:sz="0" w:space="0" w:color="auto"/>
      </w:divBdr>
    </w:div>
    <w:div w:id="125975304">
      <w:bodyDiv w:val="1"/>
      <w:marLeft w:val="0"/>
      <w:marRight w:val="0"/>
      <w:marTop w:val="0"/>
      <w:marBottom w:val="0"/>
      <w:divBdr>
        <w:top w:val="none" w:sz="0" w:space="0" w:color="auto"/>
        <w:left w:val="none" w:sz="0" w:space="0" w:color="auto"/>
        <w:bottom w:val="none" w:sz="0" w:space="0" w:color="auto"/>
        <w:right w:val="none" w:sz="0" w:space="0" w:color="auto"/>
      </w:divBdr>
    </w:div>
    <w:div w:id="140706275">
      <w:bodyDiv w:val="1"/>
      <w:marLeft w:val="0"/>
      <w:marRight w:val="0"/>
      <w:marTop w:val="0"/>
      <w:marBottom w:val="0"/>
      <w:divBdr>
        <w:top w:val="none" w:sz="0" w:space="0" w:color="auto"/>
        <w:left w:val="none" w:sz="0" w:space="0" w:color="auto"/>
        <w:bottom w:val="none" w:sz="0" w:space="0" w:color="auto"/>
        <w:right w:val="none" w:sz="0" w:space="0" w:color="auto"/>
      </w:divBdr>
    </w:div>
    <w:div w:id="166677213">
      <w:bodyDiv w:val="1"/>
      <w:marLeft w:val="0"/>
      <w:marRight w:val="0"/>
      <w:marTop w:val="0"/>
      <w:marBottom w:val="0"/>
      <w:divBdr>
        <w:top w:val="none" w:sz="0" w:space="0" w:color="auto"/>
        <w:left w:val="none" w:sz="0" w:space="0" w:color="auto"/>
        <w:bottom w:val="none" w:sz="0" w:space="0" w:color="auto"/>
        <w:right w:val="none" w:sz="0" w:space="0" w:color="auto"/>
      </w:divBdr>
    </w:div>
    <w:div w:id="192377998">
      <w:bodyDiv w:val="1"/>
      <w:marLeft w:val="0"/>
      <w:marRight w:val="0"/>
      <w:marTop w:val="0"/>
      <w:marBottom w:val="0"/>
      <w:divBdr>
        <w:top w:val="none" w:sz="0" w:space="0" w:color="auto"/>
        <w:left w:val="none" w:sz="0" w:space="0" w:color="auto"/>
        <w:bottom w:val="none" w:sz="0" w:space="0" w:color="auto"/>
        <w:right w:val="none" w:sz="0" w:space="0" w:color="auto"/>
      </w:divBdr>
    </w:div>
    <w:div w:id="236935820">
      <w:bodyDiv w:val="1"/>
      <w:marLeft w:val="0"/>
      <w:marRight w:val="0"/>
      <w:marTop w:val="0"/>
      <w:marBottom w:val="0"/>
      <w:divBdr>
        <w:top w:val="none" w:sz="0" w:space="0" w:color="auto"/>
        <w:left w:val="none" w:sz="0" w:space="0" w:color="auto"/>
        <w:bottom w:val="none" w:sz="0" w:space="0" w:color="auto"/>
        <w:right w:val="none" w:sz="0" w:space="0" w:color="auto"/>
      </w:divBdr>
    </w:div>
    <w:div w:id="258829142">
      <w:bodyDiv w:val="1"/>
      <w:marLeft w:val="0"/>
      <w:marRight w:val="0"/>
      <w:marTop w:val="0"/>
      <w:marBottom w:val="0"/>
      <w:divBdr>
        <w:top w:val="none" w:sz="0" w:space="0" w:color="auto"/>
        <w:left w:val="none" w:sz="0" w:space="0" w:color="auto"/>
        <w:bottom w:val="none" w:sz="0" w:space="0" w:color="auto"/>
        <w:right w:val="none" w:sz="0" w:space="0" w:color="auto"/>
      </w:divBdr>
    </w:div>
    <w:div w:id="275722655">
      <w:bodyDiv w:val="1"/>
      <w:marLeft w:val="0"/>
      <w:marRight w:val="0"/>
      <w:marTop w:val="0"/>
      <w:marBottom w:val="0"/>
      <w:divBdr>
        <w:top w:val="none" w:sz="0" w:space="0" w:color="auto"/>
        <w:left w:val="none" w:sz="0" w:space="0" w:color="auto"/>
        <w:bottom w:val="none" w:sz="0" w:space="0" w:color="auto"/>
        <w:right w:val="none" w:sz="0" w:space="0" w:color="auto"/>
      </w:divBdr>
    </w:div>
    <w:div w:id="387651472">
      <w:bodyDiv w:val="1"/>
      <w:marLeft w:val="0"/>
      <w:marRight w:val="0"/>
      <w:marTop w:val="0"/>
      <w:marBottom w:val="0"/>
      <w:divBdr>
        <w:top w:val="none" w:sz="0" w:space="0" w:color="auto"/>
        <w:left w:val="none" w:sz="0" w:space="0" w:color="auto"/>
        <w:bottom w:val="none" w:sz="0" w:space="0" w:color="auto"/>
        <w:right w:val="none" w:sz="0" w:space="0" w:color="auto"/>
      </w:divBdr>
    </w:div>
    <w:div w:id="414858067">
      <w:bodyDiv w:val="1"/>
      <w:marLeft w:val="0"/>
      <w:marRight w:val="0"/>
      <w:marTop w:val="0"/>
      <w:marBottom w:val="0"/>
      <w:divBdr>
        <w:top w:val="none" w:sz="0" w:space="0" w:color="auto"/>
        <w:left w:val="none" w:sz="0" w:space="0" w:color="auto"/>
        <w:bottom w:val="none" w:sz="0" w:space="0" w:color="auto"/>
        <w:right w:val="none" w:sz="0" w:space="0" w:color="auto"/>
      </w:divBdr>
    </w:div>
    <w:div w:id="418216144">
      <w:bodyDiv w:val="1"/>
      <w:marLeft w:val="0"/>
      <w:marRight w:val="0"/>
      <w:marTop w:val="0"/>
      <w:marBottom w:val="0"/>
      <w:divBdr>
        <w:top w:val="none" w:sz="0" w:space="0" w:color="auto"/>
        <w:left w:val="none" w:sz="0" w:space="0" w:color="auto"/>
        <w:bottom w:val="none" w:sz="0" w:space="0" w:color="auto"/>
        <w:right w:val="none" w:sz="0" w:space="0" w:color="auto"/>
      </w:divBdr>
    </w:div>
    <w:div w:id="463279163">
      <w:bodyDiv w:val="1"/>
      <w:marLeft w:val="0"/>
      <w:marRight w:val="0"/>
      <w:marTop w:val="0"/>
      <w:marBottom w:val="0"/>
      <w:divBdr>
        <w:top w:val="none" w:sz="0" w:space="0" w:color="auto"/>
        <w:left w:val="none" w:sz="0" w:space="0" w:color="auto"/>
        <w:bottom w:val="none" w:sz="0" w:space="0" w:color="auto"/>
        <w:right w:val="none" w:sz="0" w:space="0" w:color="auto"/>
      </w:divBdr>
    </w:div>
    <w:div w:id="534656936">
      <w:bodyDiv w:val="1"/>
      <w:marLeft w:val="0"/>
      <w:marRight w:val="0"/>
      <w:marTop w:val="0"/>
      <w:marBottom w:val="0"/>
      <w:divBdr>
        <w:top w:val="none" w:sz="0" w:space="0" w:color="auto"/>
        <w:left w:val="none" w:sz="0" w:space="0" w:color="auto"/>
        <w:bottom w:val="none" w:sz="0" w:space="0" w:color="auto"/>
        <w:right w:val="none" w:sz="0" w:space="0" w:color="auto"/>
      </w:divBdr>
    </w:div>
    <w:div w:id="538902590">
      <w:bodyDiv w:val="1"/>
      <w:marLeft w:val="0"/>
      <w:marRight w:val="0"/>
      <w:marTop w:val="0"/>
      <w:marBottom w:val="0"/>
      <w:divBdr>
        <w:top w:val="none" w:sz="0" w:space="0" w:color="auto"/>
        <w:left w:val="none" w:sz="0" w:space="0" w:color="auto"/>
        <w:bottom w:val="none" w:sz="0" w:space="0" w:color="auto"/>
        <w:right w:val="none" w:sz="0" w:space="0" w:color="auto"/>
      </w:divBdr>
    </w:div>
    <w:div w:id="578516838">
      <w:bodyDiv w:val="1"/>
      <w:marLeft w:val="0"/>
      <w:marRight w:val="0"/>
      <w:marTop w:val="0"/>
      <w:marBottom w:val="0"/>
      <w:divBdr>
        <w:top w:val="none" w:sz="0" w:space="0" w:color="auto"/>
        <w:left w:val="none" w:sz="0" w:space="0" w:color="auto"/>
        <w:bottom w:val="none" w:sz="0" w:space="0" w:color="auto"/>
        <w:right w:val="none" w:sz="0" w:space="0" w:color="auto"/>
      </w:divBdr>
    </w:div>
    <w:div w:id="603613683">
      <w:bodyDiv w:val="1"/>
      <w:marLeft w:val="0"/>
      <w:marRight w:val="0"/>
      <w:marTop w:val="0"/>
      <w:marBottom w:val="0"/>
      <w:divBdr>
        <w:top w:val="none" w:sz="0" w:space="0" w:color="auto"/>
        <w:left w:val="none" w:sz="0" w:space="0" w:color="auto"/>
        <w:bottom w:val="none" w:sz="0" w:space="0" w:color="auto"/>
        <w:right w:val="none" w:sz="0" w:space="0" w:color="auto"/>
      </w:divBdr>
    </w:div>
    <w:div w:id="638654870">
      <w:bodyDiv w:val="1"/>
      <w:marLeft w:val="0"/>
      <w:marRight w:val="0"/>
      <w:marTop w:val="0"/>
      <w:marBottom w:val="0"/>
      <w:divBdr>
        <w:top w:val="none" w:sz="0" w:space="0" w:color="auto"/>
        <w:left w:val="none" w:sz="0" w:space="0" w:color="auto"/>
        <w:bottom w:val="none" w:sz="0" w:space="0" w:color="auto"/>
        <w:right w:val="none" w:sz="0" w:space="0" w:color="auto"/>
      </w:divBdr>
    </w:div>
    <w:div w:id="645859725">
      <w:bodyDiv w:val="1"/>
      <w:marLeft w:val="0"/>
      <w:marRight w:val="0"/>
      <w:marTop w:val="0"/>
      <w:marBottom w:val="0"/>
      <w:divBdr>
        <w:top w:val="none" w:sz="0" w:space="0" w:color="auto"/>
        <w:left w:val="none" w:sz="0" w:space="0" w:color="auto"/>
        <w:bottom w:val="none" w:sz="0" w:space="0" w:color="auto"/>
        <w:right w:val="none" w:sz="0" w:space="0" w:color="auto"/>
      </w:divBdr>
    </w:div>
    <w:div w:id="660156287">
      <w:bodyDiv w:val="1"/>
      <w:marLeft w:val="0"/>
      <w:marRight w:val="0"/>
      <w:marTop w:val="0"/>
      <w:marBottom w:val="0"/>
      <w:divBdr>
        <w:top w:val="none" w:sz="0" w:space="0" w:color="auto"/>
        <w:left w:val="none" w:sz="0" w:space="0" w:color="auto"/>
        <w:bottom w:val="none" w:sz="0" w:space="0" w:color="auto"/>
        <w:right w:val="none" w:sz="0" w:space="0" w:color="auto"/>
      </w:divBdr>
    </w:div>
    <w:div w:id="881479500">
      <w:bodyDiv w:val="1"/>
      <w:marLeft w:val="0"/>
      <w:marRight w:val="0"/>
      <w:marTop w:val="0"/>
      <w:marBottom w:val="0"/>
      <w:divBdr>
        <w:top w:val="none" w:sz="0" w:space="0" w:color="auto"/>
        <w:left w:val="none" w:sz="0" w:space="0" w:color="auto"/>
        <w:bottom w:val="none" w:sz="0" w:space="0" w:color="auto"/>
        <w:right w:val="none" w:sz="0" w:space="0" w:color="auto"/>
      </w:divBdr>
    </w:div>
    <w:div w:id="903486390">
      <w:bodyDiv w:val="1"/>
      <w:marLeft w:val="0"/>
      <w:marRight w:val="0"/>
      <w:marTop w:val="0"/>
      <w:marBottom w:val="0"/>
      <w:divBdr>
        <w:top w:val="none" w:sz="0" w:space="0" w:color="auto"/>
        <w:left w:val="none" w:sz="0" w:space="0" w:color="auto"/>
        <w:bottom w:val="none" w:sz="0" w:space="0" w:color="auto"/>
        <w:right w:val="none" w:sz="0" w:space="0" w:color="auto"/>
      </w:divBdr>
    </w:div>
    <w:div w:id="905190623">
      <w:bodyDiv w:val="1"/>
      <w:marLeft w:val="0"/>
      <w:marRight w:val="0"/>
      <w:marTop w:val="0"/>
      <w:marBottom w:val="0"/>
      <w:divBdr>
        <w:top w:val="none" w:sz="0" w:space="0" w:color="auto"/>
        <w:left w:val="none" w:sz="0" w:space="0" w:color="auto"/>
        <w:bottom w:val="none" w:sz="0" w:space="0" w:color="auto"/>
        <w:right w:val="none" w:sz="0" w:space="0" w:color="auto"/>
      </w:divBdr>
    </w:div>
    <w:div w:id="946624561">
      <w:bodyDiv w:val="1"/>
      <w:marLeft w:val="0"/>
      <w:marRight w:val="0"/>
      <w:marTop w:val="0"/>
      <w:marBottom w:val="0"/>
      <w:divBdr>
        <w:top w:val="none" w:sz="0" w:space="0" w:color="auto"/>
        <w:left w:val="none" w:sz="0" w:space="0" w:color="auto"/>
        <w:bottom w:val="none" w:sz="0" w:space="0" w:color="auto"/>
        <w:right w:val="none" w:sz="0" w:space="0" w:color="auto"/>
      </w:divBdr>
    </w:div>
    <w:div w:id="978850645">
      <w:bodyDiv w:val="1"/>
      <w:marLeft w:val="0"/>
      <w:marRight w:val="0"/>
      <w:marTop w:val="0"/>
      <w:marBottom w:val="0"/>
      <w:divBdr>
        <w:top w:val="none" w:sz="0" w:space="0" w:color="auto"/>
        <w:left w:val="none" w:sz="0" w:space="0" w:color="auto"/>
        <w:bottom w:val="none" w:sz="0" w:space="0" w:color="auto"/>
        <w:right w:val="none" w:sz="0" w:space="0" w:color="auto"/>
      </w:divBdr>
      <w:divsChild>
        <w:div w:id="2044554838">
          <w:marLeft w:val="547"/>
          <w:marRight w:val="0"/>
          <w:marTop w:val="120"/>
          <w:marBottom w:val="120"/>
          <w:divBdr>
            <w:top w:val="none" w:sz="0" w:space="0" w:color="auto"/>
            <w:left w:val="none" w:sz="0" w:space="0" w:color="auto"/>
            <w:bottom w:val="none" w:sz="0" w:space="0" w:color="auto"/>
            <w:right w:val="none" w:sz="0" w:space="0" w:color="auto"/>
          </w:divBdr>
        </w:div>
        <w:div w:id="1762141832">
          <w:marLeft w:val="547"/>
          <w:marRight w:val="0"/>
          <w:marTop w:val="120"/>
          <w:marBottom w:val="120"/>
          <w:divBdr>
            <w:top w:val="none" w:sz="0" w:space="0" w:color="auto"/>
            <w:left w:val="none" w:sz="0" w:space="0" w:color="auto"/>
            <w:bottom w:val="none" w:sz="0" w:space="0" w:color="auto"/>
            <w:right w:val="none" w:sz="0" w:space="0" w:color="auto"/>
          </w:divBdr>
        </w:div>
        <w:div w:id="819073945">
          <w:marLeft w:val="547"/>
          <w:marRight w:val="0"/>
          <w:marTop w:val="120"/>
          <w:marBottom w:val="120"/>
          <w:divBdr>
            <w:top w:val="none" w:sz="0" w:space="0" w:color="auto"/>
            <w:left w:val="none" w:sz="0" w:space="0" w:color="auto"/>
            <w:bottom w:val="none" w:sz="0" w:space="0" w:color="auto"/>
            <w:right w:val="none" w:sz="0" w:space="0" w:color="auto"/>
          </w:divBdr>
        </w:div>
        <w:div w:id="1254169409">
          <w:marLeft w:val="547"/>
          <w:marRight w:val="0"/>
          <w:marTop w:val="120"/>
          <w:marBottom w:val="120"/>
          <w:divBdr>
            <w:top w:val="none" w:sz="0" w:space="0" w:color="auto"/>
            <w:left w:val="none" w:sz="0" w:space="0" w:color="auto"/>
            <w:bottom w:val="none" w:sz="0" w:space="0" w:color="auto"/>
            <w:right w:val="none" w:sz="0" w:space="0" w:color="auto"/>
          </w:divBdr>
        </w:div>
        <w:div w:id="1745756591">
          <w:marLeft w:val="547"/>
          <w:marRight w:val="0"/>
          <w:marTop w:val="120"/>
          <w:marBottom w:val="120"/>
          <w:divBdr>
            <w:top w:val="none" w:sz="0" w:space="0" w:color="auto"/>
            <w:left w:val="none" w:sz="0" w:space="0" w:color="auto"/>
            <w:bottom w:val="none" w:sz="0" w:space="0" w:color="auto"/>
            <w:right w:val="none" w:sz="0" w:space="0" w:color="auto"/>
          </w:divBdr>
        </w:div>
        <w:div w:id="1399471900">
          <w:marLeft w:val="547"/>
          <w:marRight w:val="0"/>
          <w:marTop w:val="120"/>
          <w:marBottom w:val="120"/>
          <w:divBdr>
            <w:top w:val="none" w:sz="0" w:space="0" w:color="auto"/>
            <w:left w:val="none" w:sz="0" w:space="0" w:color="auto"/>
            <w:bottom w:val="none" w:sz="0" w:space="0" w:color="auto"/>
            <w:right w:val="none" w:sz="0" w:space="0" w:color="auto"/>
          </w:divBdr>
        </w:div>
        <w:div w:id="464928959">
          <w:marLeft w:val="547"/>
          <w:marRight w:val="0"/>
          <w:marTop w:val="120"/>
          <w:marBottom w:val="120"/>
          <w:divBdr>
            <w:top w:val="none" w:sz="0" w:space="0" w:color="auto"/>
            <w:left w:val="none" w:sz="0" w:space="0" w:color="auto"/>
            <w:bottom w:val="none" w:sz="0" w:space="0" w:color="auto"/>
            <w:right w:val="none" w:sz="0" w:space="0" w:color="auto"/>
          </w:divBdr>
        </w:div>
        <w:div w:id="1709068900">
          <w:marLeft w:val="547"/>
          <w:marRight w:val="0"/>
          <w:marTop w:val="120"/>
          <w:marBottom w:val="120"/>
          <w:divBdr>
            <w:top w:val="none" w:sz="0" w:space="0" w:color="auto"/>
            <w:left w:val="none" w:sz="0" w:space="0" w:color="auto"/>
            <w:bottom w:val="none" w:sz="0" w:space="0" w:color="auto"/>
            <w:right w:val="none" w:sz="0" w:space="0" w:color="auto"/>
          </w:divBdr>
        </w:div>
      </w:divsChild>
    </w:div>
    <w:div w:id="1004748000">
      <w:bodyDiv w:val="1"/>
      <w:marLeft w:val="0"/>
      <w:marRight w:val="0"/>
      <w:marTop w:val="0"/>
      <w:marBottom w:val="0"/>
      <w:divBdr>
        <w:top w:val="none" w:sz="0" w:space="0" w:color="auto"/>
        <w:left w:val="none" w:sz="0" w:space="0" w:color="auto"/>
        <w:bottom w:val="none" w:sz="0" w:space="0" w:color="auto"/>
        <w:right w:val="none" w:sz="0" w:space="0" w:color="auto"/>
      </w:divBdr>
    </w:div>
    <w:div w:id="1006981734">
      <w:bodyDiv w:val="1"/>
      <w:marLeft w:val="0"/>
      <w:marRight w:val="0"/>
      <w:marTop w:val="0"/>
      <w:marBottom w:val="0"/>
      <w:divBdr>
        <w:top w:val="none" w:sz="0" w:space="0" w:color="auto"/>
        <w:left w:val="none" w:sz="0" w:space="0" w:color="auto"/>
        <w:bottom w:val="none" w:sz="0" w:space="0" w:color="auto"/>
        <w:right w:val="none" w:sz="0" w:space="0" w:color="auto"/>
      </w:divBdr>
    </w:div>
    <w:div w:id="1171870541">
      <w:bodyDiv w:val="1"/>
      <w:marLeft w:val="0"/>
      <w:marRight w:val="0"/>
      <w:marTop w:val="0"/>
      <w:marBottom w:val="0"/>
      <w:divBdr>
        <w:top w:val="none" w:sz="0" w:space="0" w:color="auto"/>
        <w:left w:val="none" w:sz="0" w:space="0" w:color="auto"/>
        <w:bottom w:val="none" w:sz="0" w:space="0" w:color="auto"/>
        <w:right w:val="none" w:sz="0" w:space="0" w:color="auto"/>
      </w:divBdr>
    </w:div>
    <w:div w:id="1176534566">
      <w:bodyDiv w:val="1"/>
      <w:marLeft w:val="0"/>
      <w:marRight w:val="0"/>
      <w:marTop w:val="0"/>
      <w:marBottom w:val="0"/>
      <w:divBdr>
        <w:top w:val="none" w:sz="0" w:space="0" w:color="auto"/>
        <w:left w:val="none" w:sz="0" w:space="0" w:color="auto"/>
        <w:bottom w:val="none" w:sz="0" w:space="0" w:color="auto"/>
        <w:right w:val="none" w:sz="0" w:space="0" w:color="auto"/>
      </w:divBdr>
    </w:div>
    <w:div w:id="1368026485">
      <w:bodyDiv w:val="1"/>
      <w:marLeft w:val="0"/>
      <w:marRight w:val="0"/>
      <w:marTop w:val="0"/>
      <w:marBottom w:val="0"/>
      <w:divBdr>
        <w:top w:val="none" w:sz="0" w:space="0" w:color="auto"/>
        <w:left w:val="none" w:sz="0" w:space="0" w:color="auto"/>
        <w:bottom w:val="none" w:sz="0" w:space="0" w:color="auto"/>
        <w:right w:val="none" w:sz="0" w:space="0" w:color="auto"/>
      </w:divBdr>
    </w:div>
    <w:div w:id="1369642909">
      <w:bodyDiv w:val="1"/>
      <w:marLeft w:val="0"/>
      <w:marRight w:val="0"/>
      <w:marTop w:val="0"/>
      <w:marBottom w:val="0"/>
      <w:divBdr>
        <w:top w:val="none" w:sz="0" w:space="0" w:color="auto"/>
        <w:left w:val="none" w:sz="0" w:space="0" w:color="auto"/>
        <w:bottom w:val="none" w:sz="0" w:space="0" w:color="auto"/>
        <w:right w:val="none" w:sz="0" w:space="0" w:color="auto"/>
      </w:divBdr>
    </w:div>
    <w:div w:id="1418675887">
      <w:bodyDiv w:val="1"/>
      <w:marLeft w:val="0"/>
      <w:marRight w:val="0"/>
      <w:marTop w:val="0"/>
      <w:marBottom w:val="0"/>
      <w:divBdr>
        <w:top w:val="none" w:sz="0" w:space="0" w:color="auto"/>
        <w:left w:val="none" w:sz="0" w:space="0" w:color="auto"/>
        <w:bottom w:val="none" w:sz="0" w:space="0" w:color="auto"/>
        <w:right w:val="none" w:sz="0" w:space="0" w:color="auto"/>
      </w:divBdr>
    </w:div>
    <w:div w:id="1431320298">
      <w:bodyDiv w:val="1"/>
      <w:marLeft w:val="0"/>
      <w:marRight w:val="0"/>
      <w:marTop w:val="0"/>
      <w:marBottom w:val="0"/>
      <w:divBdr>
        <w:top w:val="none" w:sz="0" w:space="0" w:color="auto"/>
        <w:left w:val="none" w:sz="0" w:space="0" w:color="auto"/>
        <w:bottom w:val="none" w:sz="0" w:space="0" w:color="auto"/>
        <w:right w:val="none" w:sz="0" w:space="0" w:color="auto"/>
      </w:divBdr>
    </w:div>
    <w:div w:id="1467696898">
      <w:bodyDiv w:val="1"/>
      <w:marLeft w:val="0"/>
      <w:marRight w:val="0"/>
      <w:marTop w:val="0"/>
      <w:marBottom w:val="0"/>
      <w:divBdr>
        <w:top w:val="none" w:sz="0" w:space="0" w:color="auto"/>
        <w:left w:val="none" w:sz="0" w:space="0" w:color="auto"/>
        <w:bottom w:val="none" w:sz="0" w:space="0" w:color="auto"/>
        <w:right w:val="none" w:sz="0" w:space="0" w:color="auto"/>
      </w:divBdr>
      <w:divsChild>
        <w:div w:id="729772617">
          <w:marLeft w:val="547"/>
          <w:marRight w:val="0"/>
          <w:marTop w:val="60"/>
          <w:marBottom w:val="60"/>
          <w:divBdr>
            <w:top w:val="none" w:sz="0" w:space="0" w:color="auto"/>
            <w:left w:val="none" w:sz="0" w:space="0" w:color="auto"/>
            <w:bottom w:val="none" w:sz="0" w:space="0" w:color="auto"/>
            <w:right w:val="none" w:sz="0" w:space="0" w:color="auto"/>
          </w:divBdr>
        </w:div>
        <w:div w:id="1808937260">
          <w:marLeft w:val="547"/>
          <w:marRight w:val="0"/>
          <w:marTop w:val="60"/>
          <w:marBottom w:val="60"/>
          <w:divBdr>
            <w:top w:val="none" w:sz="0" w:space="0" w:color="auto"/>
            <w:left w:val="none" w:sz="0" w:space="0" w:color="auto"/>
            <w:bottom w:val="none" w:sz="0" w:space="0" w:color="auto"/>
            <w:right w:val="none" w:sz="0" w:space="0" w:color="auto"/>
          </w:divBdr>
        </w:div>
        <w:div w:id="2142917881">
          <w:marLeft w:val="547"/>
          <w:marRight w:val="0"/>
          <w:marTop w:val="60"/>
          <w:marBottom w:val="60"/>
          <w:divBdr>
            <w:top w:val="none" w:sz="0" w:space="0" w:color="auto"/>
            <w:left w:val="none" w:sz="0" w:space="0" w:color="auto"/>
            <w:bottom w:val="none" w:sz="0" w:space="0" w:color="auto"/>
            <w:right w:val="none" w:sz="0" w:space="0" w:color="auto"/>
          </w:divBdr>
        </w:div>
        <w:div w:id="1888761422">
          <w:marLeft w:val="547"/>
          <w:marRight w:val="0"/>
          <w:marTop w:val="60"/>
          <w:marBottom w:val="60"/>
          <w:divBdr>
            <w:top w:val="none" w:sz="0" w:space="0" w:color="auto"/>
            <w:left w:val="none" w:sz="0" w:space="0" w:color="auto"/>
            <w:bottom w:val="none" w:sz="0" w:space="0" w:color="auto"/>
            <w:right w:val="none" w:sz="0" w:space="0" w:color="auto"/>
          </w:divBdr>
        </w:div>
        <w:div w:id="1276791475">
          <w:marLeft w:val="547"/>
          <w:marRight w:val="0"/>
          <w:marTop w:val="60"/>
          <w:marBottom w:val="60"/>
          <w:divBdr>
            <w:top w:val="none" w:sz="0" w:space="0" w:color="auto"/>
            <w:left w:val="none" w:sz="0" w:space="0" w:color="auto"/>
            <w:bottom w:val="none" w:sz="0" w:space="0" w:color="auto"/>
            <w:right w:val="none" w:sz="0" w:space="0" w:color="auto"/>
          </w:divBdr>
        </w:div>
        <w:div w:id="1272666759">
          <w:marLeft w:val="547"/>
          <w:marRight w:val="0"/>
          <w:marTop w:val="60"/>
          <w:marBottom w:val="60"/>
          <w:divBdr>
            <w:top w:val="none" w:sz="0" w:space="0" w:color="auto"/>
            <w:left w:val="none" w:sz="0" w:space="0" w:color="auto"/>
            <w:bottom w:val="none" w:sz="0" w:space="0" w:color="auto"/>
            <w:right w:val="none" w:sz="0" w:space="0" w:color="auto"/>
          </w:divBdr>
        </w:div>
        <w:div w:id="382288575">
          <w:marLeft w:val="547"/>
          <w:marRight w:val="0"/>
          <w:marTop w:val="60"/>
          <w:marBottom w:val="60"/>
          <w:divBdr>
            <w:top w:val="none" w:sz="0" w:space="0" w:color="auto"/>
            <w:left w:val="none" w:sz="0" w:space="0" w:color="auto"/>
            <w:bottom w:val="none" w:sz="0" w:space="0" w:color="auto"/>
            <w:right w:val="none" w:sz="0" w:space="0" w:color="auto"/>
          </w:divBdr>
        </w:div>
        <w:div w:id="23137253">
          <w:marLeft w:val="547"/>
          <w:marRight w:val="0"/>
          <w:marTop w:val="60"/>
          <w:marBottom w:val="60"/>
          <w:divBdr>
            <w:top w:val="none" w:sz="0" w:space="0" w:color="auto"/>
            <w:left w:val="none" w:sz="0" w:space="0" w:color="auto"/>
            <w:bottom w:val="none" w:sz="0" w:space="0" w:color="auto"/>
            <w:right w:val="none" w:sz="0" w:space="0" w:color="auto"/>
          </w:divBdr>
        </w:div>
        <w:div w:id="1740706308">
          <w:marLeft w:val="547"/>
          <w:marRight w:val="0"/>
          <w:marTop w:val="60"/>
          <w:marBottom w:val="60"/>
          <w:divBdr>
            <w:top w:val="none" w:sz="0" w:space="0" w:color="auto"/>
            <w:left w:val="none" w:sz="0" w:space="0" w:color="auto"/>
            <w:bottom w:val="none" w:sz="0" w:space="0" w:color="auto"/>
            <w:right w:val="none" w:sz="0" w:space="0" w:color="auto"/>
          </w:divBdr>
        </w:div>
        <w:div w:id="1990160672">
          <w:marLeft w:val="547"/>
          <w:marRight w:val="0"/>
          <w:marTop w:val="60"/>
          <w:marBottom w:val="60"/>
          <w:divBdr>
            <w:top w:val="none" w:sz="0" w:space="0" w:color="auto"/>
            <w:left w:val="none" w:sz="0" w:space="0" w:color="auto"/>
            <w:bottom w:val="none" w:sz="0" w:space="0" w:color="auto"/>
            <w:right w:val="none" w:sz="0" w:space="0" w:color="auto"/>
          </w:divBdr>
        </w:div>
        <w:div w:id="340788751">
          <w:marLeft w:val="547"/>
          <w:marRight w:val="0"/>
          <w:marTop w:val="60"/>
          <w:marBottom w:val="60"/>
          <w:divBdr>
            <w:top w:val="none" w:sz="0" w:space="0" w:color="auto"/>
            <w:left w:val="none" w:sz="0" w:space="0" w:color="auto"/>
            <w:bottom w:val="none" w:sz="0" w:space="0" w:color="auto"/>
            <w:right w:val="none" w:sz="0" w:space="0" w:color="auto"/>
          </w:divBdr>
        </w:div>
        <w:div w:id="671565879">
          <w:marLeft w:val="547"/>
          <w:marRight w:val="0"/>
          <w:marTop w:val="60"/>
          <w:marBottom w:val="60"/>
          <w:divBdr>
            <w:top w:val="none" w:sz="0" w:space="0" w:color="auto"/>
            <w:left w:val="none" w:sz="0" w:space="0" w:color="auto"/>
            <w:bottom w:val="none" w:sz="0" w:space="0" w:color="auto"/>
            <w:right w:val="none" w:sz="0" w:space="0" w:color="auto"/>
          </w:divBdr>
        </w:div>
        <w:div w:id="1103309419">
          <w:marLeft w:val="547"/>
          <w:marRight w:val="0"/>
          <w:marTop w:val="60"/>
          <w:marBottom w:val="60"/>
          <w:divBdr>
            <w:top w:val="none" w:sz="0" w:space="0" w:color="auto"/>
            <w:left w:val="none" w:sz="0" w:space="0" w:color="auto"/>
            <w:bottom w:val="none" w:sz="0" w:space="0" w:color="auto"/>
            <w:right w:val="none" w:sz="0" w:space="0" w:color="auto"/>
          </w:divBdr>
        </w:div>
        <w:div w:id="1933464735">
          <w:marLeft w:val="547"/>
          <w:marRight w:val="0"/>
          <w:marTop w:val="60"/>
          <w:marBottom w:val="60"/>
          <w:divBdr>
            <w:top w:val="none" w:sz="0" w:space="0" w:color="auto"/>
            <w:left w:val="none" w:sz="0" w:space="0" w:color="auto"/>
            <w:bottom w:val="none" w:sz="0" w:space="0" w:color="auto"/>
            <w:right w:val="none" w:sz="0" w:space="0" w:color="auto"/>
          </w:divBdr>
        </w:div>
        <w:div w:id="1445465957">
          <w:marLeft w:val="547"/>
          <w:marRight w:val="0"/>
          <w:marTop w:val="60"/>
          <w:marBottom w:val="60"/>
          <w:divBdr>
            <w:top w:val="none" w:sz="0" w:space="0" w:color="auto"/>
            <w:left w:val="none" w:sz="0" w:space="0" w:color="auto"/>
            <w:bottom w:val="none" w:sz="0" w:space="0" w:color="auto"/>
            <w:right w:val="none" w:sz="0" w:space="0" w:color="auto"/>
          </w:divBdr>
        </w:div>
        <w:div w:id="2009210959">
          <w:marLeft w:val="547"/>
          <w:marRight w:val="0"/>
          <w:marTop w:val="60"/>
          <w:marBottom w:val="60"/>
          <w:divBdr>
            <w:top w:val="none" w:sz="0" w:space="0" w:color="auto"/>
            <w:left w:val="none" w:sz="0" w:space="0" w:color="auto"/>
            <w:bottom w:val="none" w:sz="0" w:space="0" w:color="auto"/>
            <w:right w:val="none" w:sz="0" w:space="0" w:color="auto"/>
          </w:divBdr>
        </w:div>
        <w:div w:id="1558587587">
          <w:marLeft w:val="547"/>
          <w:marRight w:val="0"/>
          <w:marTop w:val="60"/>
          <w:marBottom w:val="60"/>
          <w:divBdr>
            <w:top w:val="none" w:sz="0" w:space="0" w:color="auto"/>
            <w:left w:val="none" w:sz="0" w:space="0" w:color="auto"/>
            <w:bottom w:val="none" w:sz="0" w:space="0" w:color="auto"/>
            <w:right w:val="none" w:sz="0" w:space="0" w:color="auto"/>
          </w:divBdr>
        </w:div>
        <w:div w:id="1110277977">
          <w:marLeft w:val="547"/>
          <w:marRight w:val="0"/>
          <w:marTop w:val="60"/>
          <w:marBottom w:val="60"/>
          <w:divBdr>
            <w:top w:val="none" w:sz="0" w:space="0" w:color="auto"/>
            <w:left w:val="none" w:sz="0" w:space="0" w:color="auto"/>
            <w:bottom w:val="none" w:sz="0" w:space="0" w:color="auto"/>
            <w:right w:val="none" w:sz="0" w:space="0" w:color="auto"/>
          </w:divBdr>
        </w:div>
        <w:div w:id="1342657532">
          <w:marLeft w:val="547"/>
          <w:marRight w:val="0"/>
          <w:marTop w:val="60"/>
          <w:marBottom w:val="60"/>
          <w:divBdr>
            <w:top w:val="none" w:sz="0" w:space="0" w:color="auto"/>
            <w:left w:val="none" w:sz="0" w:space="0" w:color="auto"/>
            <w:bottom w:val="none" w:sz="0" w:space="0" w:color="auto"/>
            <w:right w:val="none" w:sz="0" w:space="0" w:color="auto"/>
          </w:divBdr>
        </w:div>
        <w:div w:id="682172657">
          <w:marLeft w:val="547"/>
          <w:marRight w:val="0"/>
          <w:marTop w:val="60"/>
          <w:marBottom w:val="60"/>
          <w:divBdr>
            <w:top w:val="none" w:sz="0" w:space="0" w:color="auto"/>
            <w:left w:val="none" w:sz="0" w:space="0" w:color="auto"/>
            <w:bottom w:val="none" w:sz="0" w:space="0" w:color="auto"/>
            <w:right w:val="none" w:sz="0" w:space="0" w:color="auto"/>
          </w:divBdr>
        </w:div>
        <w:div w:id="1678115750">
          <w:marLeft w:val="547"/>
          <w:marRight w:val="0"/>
          <w:marTop w:val="60"/>
          <w:marBottom w:val="60"/>
          <w:divBdr>
            <w:top w:val="none" w:sz="0" w:space="0" w:color="auto"/>
            <w:left w:val="none" w:sz="0" w:space="0" w:color="auto"/>
            <w:bottom w:val="none" w:sz="0" w:space="0" w:color="auto"/>
            <w:right w:val="none" w:sz="0" w:space="0" w:color="auto"/>
          </w:divBdr>
        </w:div>
        <w:div w:id="1052728413">
          <w:marLeft w:val="547"/>
          <w:marRight w:val="0"/>
          <w:marTop w:val="60"/>
          <w:marBottom w:val="60"/>
          <w:divBdr>
            <w:top w:val="none" w:sz="0" w:space="0" w:color="auto"/>
            <w:left w:val="none" w:sz="0" w:space="0" w:color="auto"/>
            <w:bottom w:val="none" w:sz="0" w:space="0" w:color="auto"/>
            <w:right w:val="none" w:sz="0" w:space="0" w:color="auto"/>
          </w:divBdr>
        </w:div>
        <w:div w:id="1296719665">
          <w:marLeft w:val="547"/>
          <w:marRight w:val="0"/>
          <w:marTop w:val="60"/>
          <w:marBottom w:val="60"/>
          <w:divBdr>
            <w:top w:val="none" w:sz="0" w:space="0" w:color="auto"/>
            <w:left w:val="none" w:sz="0" w:space="0" w:color="auto"/>
            <w:bottom w:val="none" w:sz="0" w:space="0" w:color="auto"/>
            <w:right w:val="none" w:sz="0" w:space="0" w:color="auto"/>
          </w:divBdr>
        </w:div>
        <w:div w:id="1637293941">
          <w:marLeft w:val="547"/>
          <w:marRight w:val="0"/>
          <w:marTop w:val="60"/>
          <w:marBottom w:val="60"/>
          <w:divBdr>
            <w:top w:val="none" w:sz="0" w:space="0" w:color="auto"/>
            <w:left w:val="none" w:sz="0" w:space="0" w:color="auto"/>
            <w:bottom w:val="none" w:sz="0" w:space="0" w:color="auto"/>
            <w:right w:val="none" w:sz="0" w:space="0" w:color="auto"/>
          </w:divBdr>
        </w:div>
        <w:div w:id="310333508">
          <w:marLeft w:val="547"/>
          <w:marRight w:val="0"/>
          <w:marTop w:val="60"/>
          <w:marBottom w:val="60"/>
          <w:divBdr>
            <w:top w:val="none" w:sz="0" w:space="0" w:color="auto"/>
            <w:left w:val="none" w:sz="0" w:space="0" w:color="auto"/>
            <w:bottom w:val="none" w:sz="0" w:space="0" w:color="auto"/>
            <w:right w:val="none" w:sz="0" w:space="0" w:color="auto"/>
          </w:divBdr>
        </w:div>
        <w:div w:id="1092512336">
          <w:marLeft w:val="547"/>
          <w:marRight w:val="0"/>
          <w:marTop w:val="60"/>
          <w:marBottom w:val="60"/>
          <w:divBdr>
            <w:top w:val="none" w:sz="0" w:space="0" w:color="auto"/>
            <w:left w:val="none" w:sz="0" w:space="0" w:color="auto"/>
            <w:bottom w:val="none" w:sz="0" w:space="0" w:color="auto"/>
            <w:right w:val="none" w:sz="0" w:space="0" w:color="auto"/>
          </w:divBdr>
        </w:div>
        <w:div w:id="1861159580">
          <w:marLeft w:val="547"/>
          <w:marRight w:val="0"/>
          <w:marTop w:val="60"/>
          <w:marBottom w:val="60"/>
          <w:divBdr>
            <w:top w:val="none" w:sz="0" w:space="0" w:color="auto"/>
            <w:left w:val="none" w:sz="0" w:space="0" w:color="auto"/>
            <w:bottom w:val="none" w:sz="0" w:space="0" w:color="auto"/>
            <w:right w:val="none" w:sz="0" w:space="0" w:color="auto"/>
          </w:divBdr>
        </w:div>
        <w:div w:id="779839748">
          <w:marLeft w:val="547"/>
          <w:marRight w:val="0"/>
          <w:marTop w:val="60"/>
          <w:marBottom w:val="60"/>
          <w:divBdr>
            <w:top w:val="none" w:sz="0" w:space="0" w:color="auto"/>
            <w:left w:val="none" w:sz="0" w:space="0" w:color="auto"/>
            <w:bottom w:val="none" w:sz="0" w:space="0" w:color="auto"/>
            <w:right w:val="none" w:sz="0" w:space="0" w:color="auto"/>
          </w:divBdr>
        </w:div>
        <w:div w:id="974875077">
          <w:marLeft w:val="547"/>
          <w:marRight w:val="0"/>
          <w:marTop w:val="60"/>
          <w:marBottom w:val="60"/>
          <w:divBdr>
            <w:top w:val="none" w:sz="0" w:space="0" w:color="auto"/>
            <w:left w:val="none" w:sz="0" w:space="0" w:color="auto"/>
            <w:bottom w:val="none" w:sz="0" w:space="0" w:color="auto"/>
            <w:right w:val="none" w:sz="0" w:space="0" w:color="auto"/>
          </w:divBdr>
        </w:div>
        <w:div w:id="1412120287">
          <w:marLeft w:val="547"/>
          <w:marRight w:val="0"/>
          <w:marTop w:val="60"/>
          <w:marBottom w:val="60"/>
          <w:divBdr>
            <w:top w:val="none" w:sz="0" w:space="0" w:color="auto"/>
            <w:left w:val="none" w:sz="0" w:space="0" w:color="auto"/>
            <w:bottom w:val="none" w:sz="0" w:space="0" w:color="auto"/>
            <w:right w:val="none" w:sz="0" w:space="0" w:color="auto"/>
          </w:divBdr>
        </w:div>
      </w:divsChild>
    </w:div>
    <w:div w:id="1563979470">
      <w:bodyDiv w:val="1"/>
      <w:marLeft w:val="0"/>
      <w:marRight w:val="0"/>
      <w:marTop w:val="0"/>
      <w:marBottom w:val="0"/>
      <w:divBdr>
        <w:top w:val="none" w:sz="0" w:space="0" w:color="auto"/>
        <w:left w:val="none" w:sz="0" w:space="0" w:color="auto"/>
        <w:bottom w:val="none" w:sz="0" w:space="0" w:color="auto"/>
        <w:right w:val="none" w:sz="0" w:space="0" w:color="auto"/>
      </w:divBdr>
    </w:div>
    <w:div w:id="1580287938">
      <w:bodyDiv w:val="1"/>
      <w:marLeft w:val="0"/>
      <w:marRight w:val="0"/>
      <w:marTop w:val="0"/>
      <w:marBottom w:val="0"/>
      <w:divBdr>
        <w:top w:val="none" w:sz="0" w:space="0" w:color="auto"/>
        <w:left w:val="none" w:sz="0" w:space="0" w:color="auto"/>
        <w:bottom w:val="none" w:sz="0" w:space="0" w:color="auto"/>
        <w:right w:val="none" w:sz="0" w:space="0" w:color="auto"/>
      </w:divBdr>
    </w:div>
    <w:div w:id="1606352979">
      <w:bodyDiv w:val="1"/>
      <w:marLeft w:val="0"/>
      <w:marRight w:val="0"/>
      <w:marTop w:val="0"/>
      <w:marBottom w:val="0"/>
      <w:divBdr>
        <w:top w:val="none" w:sz="0" w:space="0" w:color="auto"/>
        <w:left w:val="none" w:sz="0" w:space="0" w:color="auto"/>
        <w:bottom w:val="none" w:sz="0" w:space="0" w:color="auto"/>
        <w:right w:val="none" w:sz="0" w:space="0" w:color="auto"/>
      </w:divBdr>
    </w:div>
    <w:div w:id="1627272179">
      <w:bodyDiv w:val="1"/>
      <w:marLeft w:val="0"/>
      <w:marRight w:val="0"/>
      <w:marTop w:val="0"/>
      <w:marBottom w:val="0"/>
      <w:divBdr>
        <w:top w:val="none" w:sz="0" w:space="0" w:color="auto"/>
        <w:left w:val="none" w:sz="0" w:space="0" w:color="auto"/>
        <w:bottom w:val="none" w:sz="0" w:space="0" w:color="auto"/>
        <w:right w:val="none" w:sz="0" w:space="0" w:color="auto"/>
      </w:divBdr>
    </w:div>
    <w:div w:id="1656176567">
      <w:bodyDiv w:val="1"/>
      <w:marLeft w:val="0"/>
      <w:marRight w:val="0"/>
      <w:marTop w:val="0"/>
      <w:marBottom w:val="0"/>
      <w:divBdr>
        <w:top w:val="none" w:sz="0" w:space="0" w:color="auto"/>
        <w:left w:val="none" w:sz="0" w:space="0" w:color="auto"/>
        <w:bottom w:val="none" w:sz="0" w:space="0" w:color="auto"/>
        <w:right w:val="none" w:sz="0" w:space="0" w:color="auto"/>
      </w:divBdr>
    </w:div>
    <w:div w:id="1806964199">
      <w:bodyDiv w:val="1"/>
      <w:marLeft w:val="0"/>
      <w:marRight w:val="0"/>
      <w:marTop w:val="0"/>
      <w:marBottom w:val="0"/>
      <w:divBdr>
        <w:top w:val="none" w:sz="0" w:space="0" w:color="auto"/>
        <w:left w:val="none" w:sz="0" w:space="0" w:color="auto"/>
        <w:bottom w:val="none" w:sz="0" w:space="0" w:color="auto"/>
        <w:right w:val="none" w:sz="0" w:space="0" w:color="auto"/>
      </w:divBdr>
    </w:div>
    <w:div w:id="1855487609">
      <w:bodyDiv w:val="1"/>
      <w:marLeft w:val="0"/>
      <w:marRight w:val="0"/>
      <w:marTop w:val="0"/>
      <w:marBottom w:val="0"/>
      <w:divBdr>
        <w:top w:val="none" w:sz="0" w:space="0" w:color="auto"/>
        <w:left w:val="none" w:sz="0" w:space="0" w:color="auto"/>
        <w:bottom w:val="none" w:sz="0" w:space="0" w:color="auto"/>
        <w:right w:val="none" w:sz="0" w:space="0" w:color="auto"/>
      </w:divBdr>
    </w:div>
    <w:div w:id="1926768728">
      <w:bodyDiv w:val="1"/>
      <w:marLeft w:val="0"/>
      <w:marRight w:val="0"/>
      <w:marTop w:val="0"/>
      <w:marBottom w:val="0"/>
      <w:divBdr>
        <w:top w:val="none" w:sz="0" w:space="0" w:color="auto"/>
        <w:left w:val="none" w:sz="0" w:space="0" w:color="auto"/>
        <w:bottom w:val="none" w:sz="0" w:space="0" w:color="auto"/>
        <w:right w:val="none" w:sz="0" w:space="0" w:color="auto"/>
      </w:divBdr>
    </w:div>
    <w:div w:id="1949464086">
      <w:bodyDiv w:val="1"/>
      <w:marLeft w:val="0"/>
      <w:marRight w:val="0"/>
      <w:marTop w:val="0"/>
      <w:marBottom w:val="0"/>
      <w:divBdr>
        <w:top w:val="none" w:sz="0" w:space="0" w:color="auto"/>
        <w:left w:val="none" w:sz="0" w:space="0" w:color="auto"/>
        <w:bottom w:val="none" w:sz="0" w:space="0" w:color="auto"/>
        <w:right w:val="none" w:sz="0" w:space="0" w:color="auto"/>
      </w:divBdr>
    </w:div>
    <w:div w:id="1954090436">
      <w:bodyDiv w:val="1"/>
      <w:marLeft w:val="0"/>
      <w:marRight w:val="0"/>
      <w:marTop w:val="0"/>
      <w:marBottom w:val="0"/>
      <w:divBdr>
        <w:top w:val="none" w:sz="0" w:space="0" w:color="auto"/>
        <w:left w:val="none" w:sz="0" w:space="0" w:color="auto"/>
        <w:bottom w:val="none" w:sz="0" w:space="0" w:color="auto"/>
        <w:right w:val="none" w:sz="0" w:space="0" w:color="auto"/>
      </w:divBdr>
    </w:div>
    <w:div w:id="21399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ss.ministers.treasury.gov.au/media-release/023-2017/" TargetMode="External"/><Relationship Id="rId26" Type="http://schemas.openxmlformats.org/officeDocument/2006/relationships/hyperlink" Target="http://www.acnc.gov.au/nongovschools" TargetMode="External"/><Relationship Id="rId39" Type="http://schemas.openxmlformats.org/officeDocument/2006/relationships/hyperlink" Target="https://www.acnc.gov.au/ACNC/Publications/Policy_PDFs/CommSt_Compliance.aspx" TargetMode="External"/><Relationship Id="rId21" Type="http://schemas.openxmlformats.org/officeDocument/2006/relationships/hyperlink" Target="http://www.acnc.gov.au/compliancereport" TargetMode="External"/><Relationship Id="rId34" Type="http://schemas.openxmlformats.org/officeDocument/2006/relationships/hyperlink" Target="http://acnc.gov.au/ACNC/Regulatory/Reg_approach.aspx?" TargetMode="External"/><Relationship Id="rId42" Type="http://schemas.openxmlformats.org/officeDocument/2006/relationships/hyperlink" Target="http://ACNC.informz.ca/z/cjUucD9taT05MzM1NzgmcD0xJnU9OTA5ODQ0NzY1JmxpPTEwMjA4MDM1/index.html" TargetMode="External"/><Relationship Id="rId47" Type="http://schemas.openxmlformats.org/officeDocument/2006/relationships/footer" Target="footer4.xml"/><Relationship Id="rId50" Type="http://schemas.openxmlformats.org/officeDocument/2006/relationships/image" Target="media/image4.png"/><Relationship Id="rId55" Type="http://schemas.openxmlformats.org/officeDocument/2006/relationships/hyperlink" Target="http://www.acnc.gov.au/regulatoryapproach" TargetMode="External"/><Relationship Id="rId63" Type="http://schemas.openxmlformats.org/officeDocument/2006/relationships/hyperlink" Target="http://www.acnc.gov.au/policies" TargetMode="External"/><Relationship Id="rId68" Type="http://schemas.openxmlformats.org/officeDocument/2006/relationships/hyperlink" Target="http://acnc.gov.au/ACNC/Regulatory/Reg_approach.aspx?" TargetMode="External"/><Relationship Id="rId76" Type="http://schemas.openxmlformats.org/officeDocument/2006/relationships/hyperlink" Target="http://acnc.gov.au/ACNC/Regulatory/Reg_approach.aspx?" TargetMode="External"/><Relationship Id="rId84" Type="http://schemas.openxmlformats.org/officeDocument/2006/relationships/header" Target="header3.xm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acnc.gov.au/ACNC/Publications/Procedure_PDFs/Op_forms.aspx" TargetMode="External"/><Relationship Id="rId2" Type="http://schemas.openxmlformats.org/officeDocument/2006/relationships/customXml" Target="../customXml/item2.xml"/><Relationship Id="rId16" Type="http://schemas.openxmlformats.org/officeDocument/2006/relationships/hyperlink" Target="http://www.acnc.gov.au/nfprisk" TargetMode="External"/><Relationship Id="rId29" Type="http://schemas.openxmlformats.org/officeDocument/2006/relationships/hyperlink" Target="http://www.acnc.gov.au/corporatepartnerships" TargetMode="External"/><Relationship Id="rId11" Type="http://schemas.openxmlformats.org/officeDocument/2006/relationships/footer" Target="footer1.xml"/><Relationship Id="rId24" Type="http://schemas.openxmlformats.org/officeDocument/2006/relationships/hyperlink" Target="https://www.acnc.gov.au/ACNC/Publications/Procedure_PDFs/OP_Monitoring.aspx" TargetMode="External"/><Relationship Id="rId32" Type="http://schemas.openxmlformats.org/officeDocument/2006/relationships/hyperlink" Target="http://acnc.gov.au/ACNC/Regulatory/Reg_approach.aspx?" TargetMode="External"/><Relationship Id="rId37" Type="http://schemas.openxmlformats.org/officeDocument/2006/relationships/hyperlink" Target="https://www.acnc.gov.au/ACNC/Publications/Procedure_PDFs/Op_forms.aspx" TargetMode="External"/><Relationship Id="rId40" Type="http://schemas.openxmlformats.org/officeDocument/2006/relationships/hyperlink" Target="http://acnc.gov.au/ACNC/Regulatory/Reg_approach.aspx?" TargetMode="External"/><Relationship Id="rId45" Type="http://schemas.openxmlformats.org/officeDocument/2006/relationships/hyperlink" Target="https://acncoffice.sharepoint.com/sites/Teams/RRTR/Red%20tape%20reduction/Commonwealth/RPF/2018/acnc.gov.au/ATSICommunityEngagement" TargetMode="External"/><Relationship Id="rId53" Type="http://schemas.openxmlformats.org/officeDocument/2006/relationships/hyperlink" Target="https://acncoffice.sharepoint.com/sites/Teams/RRTR/Red%20tape%20reduction/Commonwealth/RPF/2018/data.gov.au" TargetMode="External"/><Relationship Id="rId58" Type="http://schemas.openxmlformats.org/officeDocument/2006/relationships/hyperlink" Target="http://www.acnc.gov.au/operatingoverseas" TargetMode="External"/><Relationship Id="rId66" Type="http://schemas.openxmlformats.org/officeDocument/2006/relationships/hyperlink" Target="http://acnc.gov.au/ACNC/Publications/Policy_PDFs/CommSt_Compliance.aspx" TargetMode="External"/><Relationship Id="rId74" Type="http://schemas.openxmlformats.org/officeDocument/2006/relationships/hyperlink" Target="http://acnc.gov.au/ACNC/Publications/Policy_PDFs/CommSt_Compliance.aspx" TargetMode="External"/><Relationship Id="rId79" Type="http://schemas.openxmlformats.org/officeDocument/2006/relationships/hyperlink" Target="http://www.acnc.gov.au/annualreport" TargetMode="External"/><Relationship Id="rId87" Type="http://schemas.openxmlformats.org/officeDocument/2006/relationships/hyperlink" Target="https://www.acnc.gov.au/ACNC/Comms/LN/LN_20180119.aspx" TargetMode="External"/><Relationship Id="rId5" Type="http://schemas.openxmlformats.org/officeDocument/2006/relationships/numbering" Target="numbering.xml"/><Relationship Id="rId61" Type="http://schemas.openxmlformats.org/officeDocument/2006/relationships/image" Target="media/image5.png"/><Relationship Id="rId82" Type="http://schemas.openxmlformats.org/officeDocument/2006/relationships/hyperlink" Target="https://www.acnc.gov.au/ACNC/Comms/LN/LN_20180119.aspx" TargetMode="External"/><Relationship Id="rId90" Type="http://schemas.openxmlformats.org/officeDocument/2006/relationships/theme" Target="theme/theme1.xml"/><Relationship Id="rId19" Type="http://schemas.openxmlformats.org/officeDocument/2006/relationships/hyperlink" Target="https://www.acnc.gov.au/CMDownload.aspx?ContentKey=c4179ed5-1d99-4d86-a167-a7a1ff5d0de4&amp;ContentItemKey=1c09cb53-7a32-4099-8199-328e5cfd20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cnc.gov.au/ACNC/Publications/Procedure_PDFs/OP_InfoGather.aspx" TargetMode="External"/><Relationship Id="rId27" Type="http://schemas.openxmlformats.org/officeDocument/2006/relationships/hyperlink" Target="http://www.acnc.gov.au/boardremuneration" TargetMode="External"/><Relationship Id="rId30" Type="http://schemas.openxmlformats.org/officeDocument/2006/relationships/hyperlink" Target="http://www.acnc.gov.au/governanceforgood" TargetMode="External"/><Relationship Id="rId35" Type="http://schemas.openxmlformats.org/officeDocument/2006/relationships/hyperlink" Target="http://acnc.gov.au/ACNC/Regulatory/Reg_approach.aspx?" TargetMode="External"/><Relationship Id="rId43" Type="http://schemas.openxmlformats.org/officeDocument/2006/relationships/hyperlink" Target="http://www.acnc.gov.au/ACNC/About_ACNC/Corporate_info/RPF_measures/ACNC/Edu/RPF_measures.aspx" TargetMode="External"/><Relationship Id="rId48" Type="http://schemas.openxmlformats.org/officeDocument/2006/relationships/hyperlink" Target="http://acnc.gov.au/rpfmeasures" TargetMode="External"/><Relationship Id="rId56" Type="http://schemas.openxmlformats.org/officeDocument/2006/relationships/hyperlink" Target="https://www.acnc.gov.au/ACNC/Publications/Policy_PDFs/CommSt_financial_reporting_scaffolding.aspx?TemplateType=P" TargetMode="External"/><Relationship Id="rId64" Type="http://schemas.openxmlformats.org/officeDocument/2006/relationships/hyperlink" Target="http://acnc.gov.au/ACNC/Publications/Policy_PDFs/CorpPol_Decision.aspx" TargetMode="External"/><Relationship Id="rId69" Type="http://schemas.openxmlformats.org/officeDocument/2006/relationships/hyperlink" Target="http://acnc.gov.au/ACNC/Regulatory/Reg_approach.aspx?" TargetMode="External"/><Relationship Id="rId77" Type="http://schemas.openxmlformats.org/officeDocument/2006/relationships/hyperlink" Target="http://acnc.gov.au/ACNC/Publications/Policy_PDFs/CommSt_Compliance.aspx" TargetMode="External"/><Relationship Id="rId8" Type="http://schemas.openxmlformats.org/officeDocument/2006/relationships/webSettings" Target="webSettings.xml"/><Relationship Id="rId51" Type="http://schemas.openxmlformats.org/officeDocument/2006/relationships/hyperlink" Target="http://www.australiancharities.acnc.gov.au" TargetMode="External"/><Relationship Id="rId72" Type="http://schemas.openxmlformats.org/officeDocument/2006/relationships/hyperlink" Target="http://www.acnc.gov.au/nongovschools" TargetMode="External"/><Relationship Id="rId80" Type="http://schemas.openxmlformats.org/officeDocument/2006/relationships/hyperlink" Target="file:///C:/Users/ucuij/AppData/Local/Microsoft/Windows/Temporary%20Internet%20Files/Content.Outlook/CZ32QQ2O/acnc.gov.au/stakeholderengagement" TargetMode="External"/><Relationship Id="rId85"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acnc.gov.au/ACNC/Publications/Reports/Public_Trust_2017.aspx" TargetMode="External"/><Relationship Id="rId25" Type="http://schemas.openxmlformats.org/officeDocument/2006/relationships/hyperlink" Target="https://www.acnc.gov.au/ACNC/Publications/Policy_PDFs/CommSt_Compliance.aspx" TargetMode="External"/><Relationship Id="rId33" Type="http://schemas.openxmlformats.org/officeDocument/2006/relationships/hyperlink" Target="https://www.acnc.gov.au/ACNC/Publications/Policy_PDFs/CorpPol_Decision.aspx" TargetMode="External"/><Relationship Id="rId38" Type="http://schemas.openxmlformats.org/officeDocument/2006/relationships/hyperlink" Target="http://acnc.gov.au/ACNC/Regulatory/Reg_approach.aspx?" TargetMode="External"/><Relationship Id="rId46" Type="http://schemas.openxmlformats.org/officeDocument/2006/relationships/header" Target="header2.xml"/><Relationship Id="rId59" Type="http://schemas.openxmlformats.org/officeDocument/2006/relationships/hyperlink" Target="http://www.acnc.gov.au/corporatepartnerships" TargetMode="External"/><Relationship Id="rId67" Type="http://schemas.openxmlformats.org/officeDocument/2006/relationships/hyperlink" Target="http://acnc.gov.au/ACNC/Publications/Policy_PDFs/CommSt_Compliance.aspx" TargetMode="External"/><Relationship Id="rId20" Type="http://schemas.openxmlformats.org/officeDocument/2006/relationships/hyperlink" Target="http://www.data.gov.au" TargetMode="External"/><Relationship Id="rId41" Type="http://schemas.openxmlformats.org/officeDocument/2006/relationships/hyperlink" Target="https://www.acnc.gov.au/ACNC/Publications/Policy_PDFs/CommSt_Compliance.aspx" TargetMode="External"/><Relationship Id="rId54" Type="http://schemas.openxmlformats.org/officeDocument/2006/relationships/hyperlink" Target="https://acncoffice.sharepoint.com/sites/Teams/RRTR/Red%20tape%20reduction/Commonwealth/RPF/2018/acnc.gov.au/policies" TargetMode="External"/><Relationship Id="rId62" Type="http://schemas.openxmlformats.org/officeDocument/2006/relationships/hyperlink" Target="http://acnc.gov.au/ACNC/Regulatory/Reg_approach.aspx?" TargetMode="External"/><Relationship Id="rId70" Type="http://schemas.openxmlformats.org/officeDocument/2006/relationships/hyperlink" Target="http://acnc.gov.au/ACNC/Publications/Policy_PDFs/CommSt_Compliance.aspx" TargetMode="External"/><Relationship Id="rId75" Type="http://schemas.openxmlformats.org/officeDocument/2006/relationships/hyperlink" Target="http://acnc.gov.au/ACNC/Regulatory/Reg_approach.aspx?" TargetMode="External"/><Relationship Id="rId83" Type="http://schemas.openxmlformats.org/officeDocument/2006/relationships/hyperlink" Target="http://www.acnc.gov.au/ACNC/About_ACNC/Corporate_info/StakeholderEng_Framework/ACNC/Edu/StakeholderEng_Framework.aspx?hkey=993b7e58-7a92-472c-b942-6fb2eae7913d" TargetMode="External"/><Relationship Id="rId88"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harities.acnc.gov.au" TargetMode="External"/><Relationship Id="rId23" Type="http://schemas.openxmlformats.org/officeDocument/2006/relationships/hyperlink" Target="https://www.acnc.gov.au/ACNC/Publications/Procedure_PDFs/OP_Referral.aspx" TargetMode="External"/><Relationship Id="rId28" Type="http://schemas.openxmlformats.org/officeDocument/2006/relationships/hyperlink" Target="http://www.acnc.gov.au/operatingoverseas" TargetMode="External"/><Relationship Id="rId36" Type="http://schemas.openxmlformats.org/officeDocument/2006/relationships/hyperlink" Target="http://acnc.gov.au/ACNC/Regulatory/Reg_approach.aspx?" TargetMode="External"/><Relationship Id="rId49" Type="http://schemas.openxmlformats.org/officeDocument/2006/relationships/image" Target="media/image3.png"/><Relationship Id="rId57" Type="http://schemas.openxmlformats.org/officeDocument/2006/relationships/hyperlink" Target="http://www.acnc.gov.au/boardremuneration" TargetMode="External"/><Relationship Id="rId10" Type="http://schemas.openxmlformats.org/officeDocument/2006/relationships/endnotes" Target="endnotes.xml"/><Relationship Id="rId31" Type="http://schemas.openxmlformats.org/officeDocument/2006/relationships/hyperlink" Target="https://www.acnc.gov.au/ACNC/Publications/Policy_PDFs/CommSt_financial_reporting_scaffolding.aspx?TemplateType=P" TargetMode="External"/><Relationship Id="rId44" Type="http://schemas.openxmlformats.org/officeDocument/2006/relationships/hyperlink" Target="http://www.acnc.gov.au/stakeholdermanagement" TargetMode="External"/><Relationship Id="rId52" Type="http://schemas.openxmlformats.org/officeDocument/2006/relationships/hyperlink" Target="http://www.acnc.gov.au/nfprisk" TargetMode="External"/><Relationship Id="rId60" Type="http://schemas.openxmlformats.org/officeDocument/2006/relationships/hyperlink" Target="http://www.acnc.gov.au/governanceforgood" TargetMode="External"/><Relationship Id="rId65" Type="http://schemas.openxmlformats.org/officeDocument/2006/relationships/hyperlink" Target="http://acnc.gov.au/ACNC/Regulatory/Reg_approach.aspx?" TargetMode="External"/><Relationship Id="rId73" Type="http://schemas.openxmlformats.org/officeDocument/2006/relationships/hyperlink" Target="http://acnc.gov.au/ACNC/Regulatory/Reg_approach.aspx?" TargetMode="External"/><Relationship Id="rId78" Type="http://schemas.openxmlformats.org/officeDocument/2006/relationships/hyperlink" Target="http://www.acnc.gov.au/IPS" TargetMode="External"/><Relationship Id="rId81" Type="http://schemas.openxmlformats.org/officeDocument/2006/relationships/hyperlink" Target="http://www.acnc.gov.au/ATSICommunityEngagement" TargetMode="External"/><Relationship Id="rId86"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ysClr val="windowText" lastClr="000000"/>
                </a:solidFill>
                <a:latin typeface="+mn-lt"/>
                <a:ea typeface="+mn-ea"/>
                <a:cs typeface="+mn-cs"/>
              </a:defRPr>
            </a:pPr>
            <a:r>
              <a:rPr lang="en-AU" sz="1800" b="1" i="0" u="none" strike="noStrike" cap="all" baseline="0">
                <a:solidFill>
                  <a:sysClr val="windowText" lastClr="000000"/>
                </a:solidFill>
                <a:effectLst/>
              </a:rPr>
              <a:t>PUG and SUG agreement with the ACNC’s self-assessment</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Sheet1!$A$5</c:f>
              <c:strCache>
                <c:ptCount val="1"/>
                <c:pt idx="0">
                  <c:v>Agree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Sheet1!$B$3:$O$4</c:f>
              <c:multiLvlStrCache>
                <c:ptCount val="14"/>
                <c:lvl>
                  <c:pt idx="0">
                    <c:v>PUG</c:v>
                  </c:pt>
                  <c:pt idx="1">
                    <c:v>SUG</c:v>
                  </c:pt>
                  <c:pt idx="2">
                    <c:v>PUG</c:v>
                  </c:pt>
                  <c:pt idx="3">
                    <c:v>SUG</c:v>
                  </c:pt>
                  <c:pt idx="4">
                    <c:v>PUG</c:v>
                  </c:pt>
                  <c:pt idx="5">
                    <c:v>SUG</c:v>
                  </c:pt>
                  <c:pt idx="6">
                    <c:v>PUG</c:v>
                  </c:pt>
                  <c:pt idx="7">
                    <c:v>SUG</c:v>
                  </c:pt>
                  <c:pt idx="8">
                    <c:v>PUG</c:v>
                  </c:pt>
                  <c:pt idx="9">
                    <c:v>SUG</c:v>
                  </c:pt>
                  <c:pt idx="10">
                    <c:v>PUG</c:v>
                  </c:pt>
                  <c:pt idx="11">
                    <c:v>SUG</c:v>
                  </c:pt>
                  <c:pt idx="12">
                    <c:v>PUG</c:v>
                  </c:pt>
                  <c:pt idx="13">
                    <c:v>SUG</c:v>
                  </c:pt>
                </c:lvl>
                <c:lvl>
                  <c:pt idx="0">
                    <c:v>KPI 1</c:v>
                  </c:pt>
                  <c:pt idx="2">
                    <c:v>KPI 2</c:v>
                  </c:pt>
                  <c:pt idx="4">
                    <c:v>KPI 3</c:v>
                  </c:pt>
                  <c:pt idx="6">
                    <c:v>KPI 4</c:v>
                  </c:pt>
                  <c:pt idx="8">
                    <c:v>KPI 5</c:v>
                  </c:pt>
                  <c:pt idx="10">
                    <c:v>KPI 6</c:v>
                  </c:pt>
                  <c:pt idx="12">
                    <c:v>Overall assessment</c:v>
                  </c:pt>
                </c:lvl>
              </c:multiLvlStrCache>
            </c:multiLvlStrRef>
          </c:cat>
          <c:val>
            <c:numRef>
              <c:f>Sheet1!$B$5:$O$5</c:f>
              <c:numCache>
                <c:formatCode>General</c:formatCode>
                <c:ptCount val="14"/>
                <c:pt idx="0">
                  <c:v>15</c:v>
                </c:pt>
                <c:pt idx="1">
                  <c:v>9</c:v>
                </c:pt>
                <c:pt idx="2">
                  <c:v>15</c:v>
                </c:pt>
                <c:pt idx="3">
                  <c:v>7</c:v>
                </c:pt>
                <c:pt idx="4">
                  <c:v>15</c:v>
                </c:pt>
                <c:pt idx="5">
                  <c:v>8</c:v>
                </c:pt>
                <c:pt idx="6">
                  <c:v>14</c:v>
                </c:pt>
                <c:pt idx="7">
                  <c:v>7</c:v>
                </c:pt>
                <c:pt idx="8">
                  <c:v>12</c:v>
                </c:pt>
                <c:pt idx="9">
                  <c:v>7</c:v>
                </c:pt>
                <c:pt idx="10">
                  <c:v>12</c:v>
                </c:pt>
                <c:pt idx="11">
                  <c:v>7</c:v>
                </c:pt>
                <c:pt idx="12">
                  <c:v>15</c:v>
                </c:pt>
                <c:pt idx="13">
                  <c:v>8</c:v>
                </c:pt>
              </c:numCache>
            </c:numRef>
          </c:val>
          <c:extLst>
            <c:ext xmlns:c16="http://schemas.microsoft.com/office/drawing/2014/chart" uri="{C3380CC4-5D6E-409C-BE32-E72D297353CC}">
              <c16:uniqueId val="{00000000-A40E-439C-85BE-10183EFD5AC4}"/>
            </c:ext>
          </c:extLst>
        </c:ser>
        <c:ser>
          <c:idx val="1"/>
          <c:order val="1"/>
          <c:tx>
            <c:strRef>
              <c:f>Sheet1!$A$6</c:f>
              <c:strCache>
                <c:ptCount val="1"/>
                <c:pt idx="0">
                  <c:v>Disagree</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Sheet1!$B$3:$O$4</c:f>
              <c:multiLvlStrCache>
                <c:ptCount val="14"/>
                <c:lvl>
                  <c:pt idx="0">
                    <c:v>PUG</c:v>
                  </c:pt>
                  <c:pt idx="1">
                    <c:v>SUG</c:v>
                  </c:pt>
                  <c:pt idx="2">
                    <c:v>PUG</c:v>
                  </c:pt>
                  <c:pt idx="3">
                    <c:v>SUG</c:v>
                  </c:pt>
                  <c:pt idx="4">
                    <c:v>PUG</c:v>
                  </c:pt>
                  <c:pt idx="5">
                    <c:v>SUG</c:v>
                  </c:pt>
                  <c:pt idx="6">
                    <c:v>PUG</c:v>
                  </c:pt>
                  <c:pt idx="7">
                    <c:v>SUG</c:v>
                  </c:pt>
                  <c:pt idx="8">
                    <c:v>PUG</c:v>
                  </c:pt>
                  <c:pt idx="9">
                    <c:v>SUG</c:v>
                  </c:pt>
                  <c:pt idx="10">
                    <c:v>PUG</c:v>
                  </c:pt>
                  <c:pt idx="11">
                    <c:v>SUG</c:v>
                  </c:pt>
                  <c:pt idx="12">
                    <c:v>PUG</c:v>
                  </c:pt>
                  <c:pt idx="13">
                    <c:v>SUG</c:v>
                  </c:pt>
                </c:lvl>
                <c:lvl>
                  <c:pt idx="0">
                    <c:v>KPI 1</c:v>
                  </c:pt>
                  <c:pt idx="2">
                    <c:v>KPI 2</c:v>
                  </c:pt>
                  <c:pt idx="4">
                    <c:v>KPI 3</c:v>
                  </c:pt>
                  <c:pt idx="6">
                    <c:v>KPI 4</c:v>
                  </c:pt>
                  <c:pt idx="8">
                    <c:v>KPI 5</c:v>
                  </c:pt>
                  <c:pt idx="10">
                    <c:v>KPI 6</c:v>
                  </c:pt>
                  <c:pt idx="12">
                    <c:v>Overall assessment</c:v>
                  </c:pt>
                </c:lvl>
              </c:multiLvlStrCache>
            </c:multiLvlStrRef>
          </c:cat>
          <c:val>
            <c:numRef>
              <c:f>Sheet1!$B$6:$O$6</c:f>
              <c:numCache>
                <c:formatCode>General</c:formatCode>
                <c:ptCount val="14"/>
                <c:pt idx="0">
                  <c:v>1</c:v>
                </c:pt>
                <c:pt idx="1">
                  <c:v>0</c:v>
                </c:pt>
                <c:pt idx="2">
                  <c:v>0</c:v>
                </c:pt>
                <c:pt idx="3">
                  <c:v>1</c:v>
                </c:pt>
                <c:pt idx="4">
                  <c:v>0</c:v>
                </c:pt>
                <c:pt idx="5">
                  <c:v>0</c:v>
                </c:pt>
                <c:pt idx="6">
                  <c:v>1</c:v>
                </c:pt>
                <c:pt idx="7">
                  <c:v>1</c:v>
                </c:pt>
                <c:pt idx="8">
                  <c:v>3</c:v>
                </c:pt>
                <c:pt idx="9">
                  <c:v>1</c:v>
                </c:pt>
                <c:pt idx="10">
                  <c:v>3</c:v>
                </c:pt>
                <c:pt idx="11">
                  <c:v>1</c:v>
                </c:pt>
                <c:pt idx="12">
                  <c:v>0</c:v>
                </c:pt>
                <c:pt idx="13">
                  <c:v>0</c:v>
                </c:pt>
              </c:numCache>
            </c:numRef>
          </c:val>
          <c:extLst>
            <c:ext xmlns:c16="http://schemas.microsoft.com/office/drawing/2014/chart" uri="{C3380CC4-5D6E-409C-BE32-E72D297353CC}">
              <c16:uniqueId val="{00000001-A40E-439C-85BE-10183EFD5AC4}"/>
            </c:ext>
          </c:extLst>
        </c:ser>
        <c:dLbls>
          <c:dLblPos val="ctr"/>
          <c:showLegendKey val="0"/>
          <c:showVal val="1"/>
          <c:showCatName val="0"/>
          <c:showSerName val="0"/>
          <c:showPercent val="0"/>
          <c:showBubbleSize val="0"/>
        </c:dLbls>
        <c:gapWidth val="50"/>
        <c:overlap val="100"/>
        <c:axId val="620920504"/>
        <c:axId val="620918864"/>
      </c:barChart>
      <c:catAx>
        <c:axId val="62092050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918864"/>
        <c:crosses val="autoZero"/>
        <c:auto val="1"/>
        <c:lblAlgn val="ctr"/>
        <c:lblOffset val="100"/>
        <c:noMultiLvlLbl val="0"/>
      </c:catAx>
      <c:valAx>
        <c:axId val="620918864"/>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92050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ysClr val="window" lastClr="FFFFFF"/>
    </a:solidFill>
    <a:ln w="25400" cap="flat" cmpd="sng" algn="ctr">
      <a:solidFill>
        <a:srgbClr val="F79646"/>
      </a:solidFill>
      <a:prstDash val="solid"/>
      <a:round/>
    </a:ln>
    <a:effectLst/>
  </c:spPr>
  <c:txPr>
    <a:bodyPr/>
    <a:lstStyle/>
    <a:p>
      <a:pPr>
        <a:defRPr>
          <a:solidFill>
            <a:sysClr val="windowText" lastClr="000000"/>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3">
    <a:dk1>
      <a:srgbClr val="254666"/>
    </a:dk1>
    <a:lt1>
      <a:sysClr val="window" lastClr="FFFFFF"/>
    </a:lt1>
    <a:dk2>
      <a:srgbClr val="5C6063"/>
    </a:dk2>
    <a:lt2>
      <a:srgbClr val="AFE3DC"/>
    </a:lt2>
    <a:accent1>
      <a:srgbClr val="2BAD29"/>
    </a:accent1>
    <a:accent2>
      <a:srgbClr val="006C94"/>
    </a:accent2>
    <a:accent3>
      <a:srgbClr val="CFE326"/>
    </a:accent3>
    <a:accent4>
      <a:srgbClr val="349487"/>
    </a:accent4>
    <a:accent5>
      <a:srgbClr val="82C624"/>
    </a:accent5>
    <a:accent6>
      <a:srgbClr val="2BAD29"/>
    </a:accent6>
    <a:hlink>
      <a:srgbClr val="82C624"/>
    </a:hlink>
    <a:folHlink>
      <a:srgbClr val="02918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3B86A6BC76D4E9C77CA9CF58E2805" ma:contentTypeVersion="4" ma:contentTypeDescription="Create a new document." ma:contentTypeScope="" ma:versionID="63bca462022647682fa7ac7ce1666022">
  <xsd:schema xmlns:xsd="http://www.w3.org/2001/XMLSchema" xmlns:xs="http://www.w3.org/2001/XMLSchema" xmlns:p="http://schemas.microsoft.com/office/2006/metadata/properties" xmlns:ns2="0ca90a58-297c-4080-8fe2-8f2db97b26d3" targetNamespace="http://schemas.microsoft.com/office/2006/metadata/properties" ma:root="true" ma:fieldsID="19ed01cf4faf00a1c2885df2f1858c03" ns2:_="">
    <xsd:import namespace="0ca90a58-297c-4080-8fe2-8f2db97b26d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0a58-297c-4080-8fe2-8f2db97b26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53EA-F3E0-491C-A9FE-F7D9112F5FBB}">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ca90a58-297c-4080-8fe2-8f2db97b26d3"/>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4B1B4DF-10EB-450B-AD14-F8D4AB8A9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0a58-297c-4080-8fe2-8f2db97b2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48C61-9412-43A4-94D5-F748E9A2E86A}">
  <ds:schemaRefs>
    <ds:schemaRef ds:uri="http://schemas.microsoft.com/sharepoint/v3/contenttype/forms"/>
  </ds:schemaRefs>
</ds:datastoreItem>
</file>

<file path=customXml/itemProps4.xml><?xml version="1.0" encoding="utf-8"?>
<ds:datastoreItem xmlns:ds="http://schemas.openxmlformats.org/officeDocument/2006/customXml" ds:itemID="{DF0E3378-3DC8-4A22-9023-994DD643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16443</Words>
  <Characters>93730</Characters>
  <Application>Microsoft Office Word</Application>
  <DocSecurity>4</DocSecurity>
  <Lines>781</Lines>
  <Paragraphs>219</Paragraphs>
  <ScaleCrop>false</ScaleCrop>
  <HeadingPairs>
    <vt:vector size="2" baseType="variant">
      <vt:variant>
        <vt:lpstr>Title</vt:lpstr>
      </vt:variant>
      <vt:variant>
        <vt:i4>1</vt:i4>
      </vt:variant>
    </vt:vector>
  </HeadingPairs>
  <TitlesOfParts>
    <vt:vector size="1" baseType="lpstr">
      <vt:lpstr>ACNC</vt:lpstr>
    </vt:vector>
  </TitlesOfParts>
  <Company>Australian Taxation Office</Company>
  <LinksUpToDate>false</LinksUpToDate>
  <CharactersWithSpaces>109954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ACNC</dc:title>
  <dc:creator>ub75g</dc:creator>
  <cp:lastModifiedBy>Matt Crichton</cp:lastModifiedBy>
  <cp:revision>2</cp:revision>
  <cp:lastPrinted>2017-10-16T01:39:00Z</cp:lastPrinted>
  <dcterms:created xsi:type="dcterms:W3CDTF">2019-02-08T03:01:00Z</dcterms:created>
  <dcterms:modified xsi:type="dcterms:W3CDTF">2019-02-08T03:01:00Z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0x01010036A3B86A6BC76D4E9C77CA9CF58E2805</vt:lpwstr>
  </property>
  <property fmtid="{D5CDD505-2E9C-101B-9397-08002B2CF9AE}" pid="3" name="_dlc_DocIdItemGuid">
    <vt:lpwstr>d4d45377-dcac-446f-9506-eca18eb4c24e</vt:lpwstr>
  </property>
  <property fmtid="{D5CDD505-2E9C-101B-9397-08002B2CF9AE}" pid="4" name="TSYRecordClass">
    <vt:lpwstr>14;#TSY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{adbb288e-28b3-4df9-adac-abe7fb36df2d}</vt:lpwstr>
  </property>
  <property fmtid="{D5CDD505-2E9C-101B-9397-08002B2CF9AE}" pid="8" name="RecordPoint_ActiveItemUniqueId">
    <vt:lpwstr>{d4d45377-dcac-446f-9506-eca18eb4c24e}</vt:lpwstr>
  </property>
  <property fmtid="{D5CDD505-2E9C-101B-9397-08002B2CF9AE}" pid="9" name="RecordPoint_ActiveItemWebId">
    <vt:lpwstr>{4a1d270b-a7e6-401d-928d-c94c91efb3af}</vt:lpwstr>
  </property>
  <property fmtid="{D5CDD505-2E9C-101B-9397-08002B2CF9AE}" pid="10" name="RecordPoint_RecordNumberSubmitted">
    <vt:lpwstr>R0001442742</vt:lpwstr>
  </property>
  <property fmtid="{D5CDD505-2E9C-101B-9397-08002B2CF9AE}" pid="11" name="RecordPoint_SubmissionCompleted">
    <vt:lpwstr>2017-10-09T01:59:39.2789923+11:00</vt:lpwstr>
  </property>
  <property fmtid="{D5CDD505-2E9C-101B-9397-08002B2CF9AE}" pid="12" name="_NewReviewCycle">
    <vt:lpwstr/>
  </property>
</Properties>
</file>