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C8AEC" w14:textId="0AC14C46" w:rsidR="006423DA" w:rsidRPr="00DD6227" w:rsidRDefault="006423DA" w:rsidP="006423DA">
      <w:pPr>
        <w:pStyle w:val="Heading1"/>
        <w:spacing w:before="120" w:after="120" w:line="276" w:lineRule="auto"/>
        <w:rPr>
          <w:rFonts w:asciiTheme="minorHAnsi" w:hAnsiTheme="minorHAnsi" w:cstheme="minorHAnsi"/>
          <w:sz w:val="22"/>
          <w:szCs w:val="22"/>
          <w:lang w:val="en-AU" w:eastAsia="en-US"/>
        </w:rPr>
      </w:pPr>
      <w:r w:rsidRPr="00DD6227">
        <w:rPr>
          <w:rFonts w:asciiTheme="minorHAnsi" w:hAnsiTheme="minorHAnsi" w:cstheme="minorHAnsi"/>
          <w:lang w:val="en-US" w:eastAsia="en-US"/>
        </w:rPr>
        <w:t xml:space="preserve">Commissioner’s Interpretation Statement: </w:t>
      </w:r>
      <w:r w:rsidR="00231898" w:rsidRPr="00DD6227">
        <w:rPr>
          <w:rFonts w:asciiTheme="minorHAnsi" w:hAnsiTheme="minorHAnsi" w:cstheme="minorHAnsi"/>
          <w:lang w:val="en-US" w:eastAsia="en-US"/>
        </w:rPr>
        <w:t>Public Benevolent Institutions</w:t>
      </w:r>
      <w:r w:rsidRPr="00DD6227">
        <w:rPr>
          <w:rFonts w:asciiTheme="minorHAnsi" w:hAnsiTheme="minorHAnsi" w:cstheme="minorHAnsi"/>
          <w:lang w:val="en-US" w:eastAsia="en-US"/>
        </w:rPr>
        <w:t xml:space="preserve"> </w:t>
      </w:r>
    </w:p>
    <w:p w14:paraId="451FCE46" w14:textId="7D2781AE" w:rsidR="00EA780B" w:rsidRPr="00DD6227" w:rsidRDefault="00EA780B" w:rsidP="00EA780B">
      <w:pPr>
        <w:spacing w:before="120" w:after="120"/>
        <w:textAlignment w:val="baseline"/>
        <w:rPr>
          <w:rFonts w:asciiTheme="minorHAnsi" w:eastAsiaTheme="minorEastAsia" w:hAnsiTheme="minorHAnsi" w:cstheme="minorHAnsi"/>
          <w:sz w:val="22"/>
          <w:lang w:val="en-US"/>
        </w:rPr>
      </w:pPr>
      <w:r w:rsidRPr="00DD6227">
        <w:rPr>
          <w:rFonts w:asciiTheme="minorHAnsi" w:eastAsiaTheme="minorEastAsia" w:hAnsiTheme="minorHAnsi" w:cstheme="minorHAnsi"/>
          <w:lang w:val="en-US"/>
        </w:rPr>
        <w:t xml:space="preserve">The purpose of this Commissioner’s Interpretation Statement is to provide guidance </w:t>
      </w:r>
      <w:r w:rsidR="00542A4C" w:rsidRPr="00DD6227">
        <w:rPr>
          <w:rFonts w:asciiTheme="minorHAnsi" w:eastAsiaTheme="minorEastAsia" w:hAnsiTheme="minorHAnsi" w:cstheme="minorHAnsi"/>
          <w:lang w:val="en-US"/>
        </w:rPr>
        <w:t>about</w:t>
      </w:r>
      <w:r w:rsidRPr="00DD6227">
        <w:rPr>
          <w:rFonts w:asciiTheme="minorHAnsi" w:eastAsiaTheme="minorEastAsia" w:hAnsiTheme="minorHAnsi" w:cstheme="minorHAnsi"/>
          <w:lang w:val="en-US"/>
        </w:rPr>
        <w:t xml:space="preserve"> </w:t>
      </w:r>
      <w:r w:rsidR="005B2E76" w:rsidRPr="00DD6227">
        <w:rPr>
          <w:rFonts w:asciiTheme="minorHAnsi" w:eastAsiaTheme="minorEastAsia" w:hAnsiTheme="minorHAnsi" w:cstheme="minorHAnsi"/>
          <w:lang w:val="en-US"/>
        </w:rPr>
        <w:t>how to determine whether a</w:t>
      </w:r>
      <w:r w:rsidR="00542A4C" w:rsidRPr="00DD6227">
        <w:rPr>
          <w:rFonts w:asciiTheme="minorHAnsi" w:eastAsiaTheme="minorEastAsia" w:hAnsiTheme="minorHAnsi" w:cstheme="minorHAnsi"/>
          <w:lang w:val="en-US"/>
        </w:rPr>
        <w:t xml:space="preserve"> charity </w:t>
      </w:r>
      <w:r w:rsidR="005B2E76" w:rsidRPr="00DD6227">
        <w:rPr>
          <w:rFonts w:asciiTheme="minorHAnsi" w:eastAsiaTheme="minorEastAsia" w:hAnsiTheme="minorHAnsi" w:cstheme="minorHAnsi"/>
          <w:lang w:val="en-US"/>
        </w:rPr>
        <w:t xml:space="preserve">is a </w:t>
      </w:r>
      <w:r w:rsidR="008F651F">
        <w:rPr>
          <w:rFonts w:asciiTheme="minorHAnsi" w:eastAsiaTheme="minorEastAsia" w:hAnsiTheme="minorHAnsi" w:cstheme="minorHAnsi"/>
          <w:lang w:val="en-US"/>
        </w:rPr>
        <w:t>P</w:t>
      </w:r>
      <w:r w:rsidR="005B2E76" w:rsidRPr="00DD6227">
        <w:rPr>
          <w:rFonts w:asciiTheme="minorHAnsi" w:eastAsiaTheme="minorEastAsia" w:hAnsiTheme="minorHAnsi" w:cstheme="minorHAnsi"/>
          <w:lang w:val="en-US"/>
        </w:rPr>
        <w:t xml:space="preserve">ublic </w:t>
      </w:r>
      <w:r w:rsidR="008F651F">
        <w:rPr>
          <w:rFonts w:asciiTheme="minorHAnsi" w:eastAsiaTheme="minorEastAsia" w:hAnsiTheme="minorHAnsi" w:cstheme="minorHAnsi"/>
          <w:lang w:val="en-US"/>
        </w:rPr>
        <w:t>B</w:t>
      </w:r>
      <w:r w:rsidR="005B2E76" w:rsidRPr="00DD6227">
        <w:rPr>
          <w:rFonts w:asciiTheme="minorHAnsi" w:eastAsiaTheme="minorEastAsia" w:hAnsiTheme="minorHAnsi" w:cstheme="minorHAnsi"/>
          <w:lang w:val="en-US"/>
        </w:rPr>
        <w:t xml:space="preserve">enevolent </w:t>
      </w:r>
      <w:r w:rsidR="008F651F">
        <w:rPr>
          <w:rFonts w:asciiTheme="minorHAnsi" w:eastAsiaTheme="minorEastAsia" w:hAnsiTheme="minorHAnsi" w:cstheme="minorHAnsi"/>
          <w:lang w:val="en-US"/>
        </w:rPr>
        <w:t>I</w:t>
      </w:r>
      <w:r w:rsidR="005B2E76" w:rsidRPr="00DD6227">
        <w:rPr>
          <w:rFonts w:asciiTheme="minorHAnsi" w:eastAsiaTheme="minorEastAsia" w:hAnsiTheme="minorHAnsi" w:cstheme="minorHAnsi"/>
          <w:lang w:val="en-US"/>
        </w:rPr>
        <w:t>nstitution.</w:t>
      </w:r>
    </w:p>
    <w:p w14:paraId="7039350F" w14:textId="77777777" w:rsidR="00EA780B" w:rsidRPr="00DD6227" w:rsidRDefault="00EA780B" w:rsidP="005B2E76">
      <w:pPr>
        <w:spacing w:before="120" w:after="120"/>
        <w:textAlignment w:val="baseline"/>
        <w:rPr>
          <w:rFonts w:asciiTheme="minorHAnsi" w:eastAsiaTheme="minorEastAsia" w:hAnsiTheme="minorHAnsi" w:cstheme="minorHAnsi"/>
          <w:lang w:val="en-US"/>
        </w:rPr>
      </w:pPr>
      <w:r w:rsidRPr="00DD6227">
        <w:rPr>
          <w:rFonts w:asciiTheme="minorHAnsi" w:eastAsiaTheme="minorEastAsia" w:hAnsiTheme="minorHAnsi" w:cstheme="minorHAnsi"/>
          <w:lang w:val="en-US"/>
        </w:rPr>
        <w:t xml:space="preserve">Commissioner’s Interpretation Statements provide guidance to ACNC staff, </w:t>
      </w:r>
      <w:proofErr w:type="gramStart"/>
      <w:r w:rsidRPr="00DD6227">
        <w:rPr>
          <w:rFonts w:asciiTheme="minorHAnsi" w:eastAsiaTheme="minorEastAsia" w:hAnsiTheme="minorHAnsi" w:cstheme="minorHAnsi"/>
          <w:lang w:val="en-US"/>
        </w:rPr>
        <w:t>charities</w:t>
      </w:r>
      <w:proofErr w:type="gramEnd"/>
      <w:r w:rsidRPr="00DD6227">
        <w:rPr>
          <w:rFonts w:asciiTheme="minorHAnsi" w:eastAsiaTheme="minorEastAsia" w:hAnsiTheme="minorHAnsi" w:cstheme="minorHAnsi"/>
          <w:lang w:val="en-US"/>
        </w:rPr>
        <w:t xml:space="preserve"> and the public on how the Commissioner understands the law that applies to charities. </w:t>
      </w:r>
    </w:p>
    <w:p w14:paraId="5DB57449" w14:textId="7CE42E58" w:rsidR="00EA780B" w:rsidRPr="00DD6227" w:rsidRDefault="00EA780B" w:rsidP="005B2E76">
      <w:pPr>
        <w:spacing w:before="120" w:after="120"/>
        <w:textAlignment w:val="baseline"/>
        <w:rPr>
          <w:rFonts w:asciiTheme="minorHAnsi" w:eastAsiaTheme="minorEastAsia" w:hAnsiTheme="minorHAnsi" w:cstheme="minorHAnsi"/>
          <w:lang w:val="en-US"/>
        </w:rPr>
      </w:pPr>
      <w:r w:rsidRPr="00DD6227">
        <w:rPr>
          <w:rFonts w:asciiTheme="minorHAnsi" w:eastAsiaTheme="minorEastAsia" w:hAnsiTheme="minorHAnsi" w:cstheme="minorHAnsi"/>
          <w:lang w:val="en-US"/>
        </w:rPr>
        <w:t xml:space="preserve">ACNC officers will apply the law as described in relevant Commissioner’s Interpretation Statements when making decisions. If the law changes, we will update any Commissioner’s Interpretation Statement affected by the change. If a change to the law will affect a charity’s </w:t>
      </w:r>
      <w:r w:rsidR="00712CE7">
        <w:rPr>
          <w:rFonts w:asciiTheme="minorHAnsi" w:eastAsiaTheme="minorEastAsia" w:hAnsiTheme="minorHAnsi" w:cstheme="minorHAnsi"/>
          <w:lang w:val="en-US"/>
        </w:rPr>
        <w:t>registration</w:t>
      </w:r>
      <w:r w:rsidRPr="00DD6227">
        <w:rPr>
          <w:rFonts w:asciiTheme="minorHAnsi" w:eastAsiaTheme="minorEastAsia" w:hAnsiTheme="minorHAnsi" w:cstheme="minorHAnsi"/>
          <w:lang w:val="en-US"/>
        </w:rPr>
        <w:t>, we will give the charity an opportunity to respond to the change before</w:t>
      </w:r>
      <w:r w:rsidR="00005839">
        <w:rPr>
          <w:rFonts w:asciiTheme="minorHAnsi" w:eastAsiaTheme="minorEastAsia" w:hAnsiTheme="minorHAnsi" w:cstheme="minorHAnsi"/>
          <w:lang w:val="en-US"/>
        </w:rPr>
        <w:t xml:space="preserve"> we</w:t>
      </w:r>
      <w:r w:rsidRPr="00DD6227">
        <w:rPr>
          <w:rFonts w:asciiTheme="minorHAnsi" w:eastAsiaTheme="minorEastAsia" w:hAnsiTheme="minorHAnsi" w:cstheme="minorHAnsi"/>
          <w:lang w:val="en-US"/>
        </w:rPr>
        <w:t xml:space="preserve"> </w:t>
      </w:r>
      <w:r w:rsidR="00005839">
        <w:rPr>
          <w:rFonts w:asciiTheme="minorHAnsi" w:eastAsiaTheme="minorEastAsia" w:hAnsiTheme="minorHAnsi" w:cstheme="minorHAnsi"/>
          <w:lang w:val="en-US"/>
        </w:rPr>
        <w:t>consider</w:t>
      </w:r>
      <w:r w:rsidRPr="00DD6227">
        <w:rPr>
          <w:rFonts w:asciiTheme="minorHAnsi" w:eastAsiaTheme="minorEastAsia" w:hAnsiTheme="minorHAnsi" w:cstheme="minorHAnsi"/>
          <w:lang w:val="en-US"/>
        </w:rPr>
        <w:t xml:space="preserve"> any regulatory action.</w:t>
      </w:r>
    </w:p>
    <w:p w14:paraId="24B942CA" w14:textId="6F4E9EE2" w:rsidR="00EA780B" w:rsidRPr="00DD6227" w:rsidRDefault="00EA780B" w:rsidP="000C0A4F">
      <w:pPr>
        <w:rPr>
          <w:rFonts w:asciiTheme="minorHAnsi" w:eastAsiaTheme="minorEastAsia" w:hAnsiTheme="minorHAnsi" w:cstheme="minorHAnsi"/>
          <w:lang w:val="en-US"/>
        </w:rPr>
      </w:pPr>
      <w:r w:rsidRPr="00DD6227">
        <w:rPr>
          <w:rFonts w:asciiTheme="minorHAnsi" w:eastAsiaTheme="minorEastAsia" w:hAnsiTheme="minorHAnsi" w:cstheme="minorHAnsi"/>
          <w:lang w:val="en-US"/>
        </w:rPr>
        <w:t>This Interpretation Statement was initially published on 19 December 2016. The current version</w:t>
      </w:r>
      <w:r w:rsidR="000C0A4F" w:rsidRPr="00DD6227">
        <w:rPr>
          <w:rFonts w:asciiTheme="minorHAnsi" w:eastAsiaTheme="minorEastAsia" w:hAnsiTheme="minorHAnsi" w:cstheme="minorHAnsi"/>
          <w:lang w:val="en-US"/>
        </w:rPr>
        <w:t xml:space="preserve"> </w:t>
      </w:r>
      <w:r w:rsidRPr="00DD6227">
        <w:rPr>
          <w:rFonts w:asciiTheme="minorHAnsi" w:eastAsiaTheme="minorEastAsia" w:hAnsiTheme="minorHAnsi" w:cstheme="minorHAnsi"/>
          <w:lang w:val="en-US"/>
        </w:rPr>
        <w:t xml:space="preserve">was published on </w:t>
      </w:r>
      <w:r w:rsidRPr="00DD6227">
        <w:rPr>
          <w:rFonts w:asciiTheme="minorHAnsi" w:eastAsiaTheme="minorEastAsia" w:hAnsiTheme="minorHAnsi" w:cstheme="minorHAnsi"/>
          <w:highlight w:val="yellow"/>
          <w:lang w:val="en-US"/>
        </w:rPr>
        <w:t>Day Month Year</w:t>
      </w:r>
      <w:r w:rsidRPr="00DD6227">
        <w:rPr>
          <w:rFonts w:asciiTheme="minorHAnsi" w:eastAsiaTheme="minorEastAsia" w:hAnsiTheme="minorHAnsi" w:cstheme="minorHAnsi"/>
          <w:lang w:val="en-US"/>
        </w:rPr>
        <w:t xml:space="preserve"> and reflects the Commissioner’s understanding of the law</w:t>
      </w:r>
      <w:r w:rsidR="000C0A4F" w:rsidRPr="00DD6227">
        <w:rPr>
          <w:rFonts w:asciiTheme="minorHAnsi" w:eastAsiaTheme="minorEastAsia" w:hAnsiTheme="minorHAnsi" w:cstheme="minorHAnsi"/>
          <w:lang w:val="en-US"/>
        </w:rPr>
        <w:t xml:space="preserve"> regarding </w:t>
      </w:r>
      <w:r w:rsidR="00A90FB3">
        <w:rPr>
          <w:rFonts w:asciiTheme="minorHAnsi" w:eastAsiaTheme="minorEastAsia" w:hAnsiTheme="minorHAnsi" w:cstheme="minorHAnsi"/>
          <w:lang w:val="en-US"/>
        </w:rPr>
        <w:t>P</w:t>
      </w:r>
      <w:r w:rsidR="000C0A4F" w:rsidRPr="00DD6227">
        <w:rPr>
          <w:rFonts w:asciiTheme="minorHAnsi" w:eastAsiaTheme="minorEastAsia" w:hAnsiTheme="minorHAnsi" w:cstheme="minorHAnsi"/>
          <w:lang w:val="en-US"/>
        </w:rPr>
        <w:t xml:space="preserve">ublic </w:t>
      </w:r>
      <w:r w:rsidR="00A90FB3">
        <w:rPr>
          <w:rFonts w:asciiTheme="minorHAnsi" w:eastAsiaTheme="minorEastAsia" w:hAnsiTheme="minorHAnsi" w:cstheme="minorHAnsi"/>
          <w:lang w:val="en-US"/>
        </w:rPr>
        <w:t>B</w:t>
      </w:r>
      <w:r w:rsidR="000C0A4F" w:rsidRPr="00DD6227">
        <w:rPr>
          <w:rFonts w:asciiTheme="minorHAnsi" w:eastAsiaTheme="minorEastAsia" w:hAnsiTheme="minorHAnsi" w:cstheme="minorHAnsi"/>
          <w:lang w:val="en-US"/>
        </w:rPr>
        <w:t xml:space="preserve">enevolent </w:t>
      </w:r>
      <w:r w:rsidR="00A90FB3">
        <w:rPr>
          <w:rFonts w:asciiTheme="minorHAnsi" w:eastAsiaTheme="minorEastAsia" w:hAnsiTheme="minorHAnsi" w:cstheme="minorHAnsi"/>
          <w:lang w:val="en-US"/>
        </w:rPr>
        <w:t>I</w:t>
      </w:r>
      <w:r w:rsidR="000C0A4F" w:rsidRPr="00DD6227">
        <w:rPr>
          <w:rFonts w:asciiTheme="minorHAnsi" w:eastAsiaTheme="minorEastAsia" w:hAnsiTheme="minorHAnsi" w:cstheme="minorHAnsi"/>
          <w:lang w:val="en-US"/>
        </w:rPr>
        <w:t>nstitutions</w:t>
      </w:r>
      <w:r w:rsidRPr="00DD6227">
        <w:rPr>
          <w:rFonts w:asciiTheme="minorHAnsi" w:eastAsiaTheme="minorEastAsia" w:hAnsiTheme="minorHAnsi" w:cstheme="minorHAnsi"/>
          <w:lang w:val="en-US"/>
        </w:rPr>
        <w:t xml:space="preserve"> on that date</w:t>
      </w:r>
      <w:r w:rsidR="000C0A4F" w:rsidRPr="00DD6227">
        <w:rPr>
          <w:rFonts w:asciiTheme="minorHAnsi" w:eastAsiaTheme="minorEastAsia" w:hAnsiTheme="minorHAnsi" w:cstheme="minorHAnsi"/>
          <w:lang w:val="en-US"/>
        </w:rPr>
        <w:t>.</w:t>
      </w:r>
    </w:p>
    <w:p w14:paraId="3651D5ED" w14:textId="7993588E" w:rsidR="006423DA" w:rsidRPr="00DD6227" w:rsidRDefault="006423DA" w:rsidP="00EA780B">
      <w:pPr>
        <w:spacing w:before="120" w:after="120" w:line="276" w:lineRule="auto"/>
        <w:ind w:left="567" w:hanging="567"/>
        <w:textAlignment w:val="baseline"/>
        <w:rPr>
          <w:rFonts w:asciiTheme="minorHAnsi" w:eastAsiaTheme="minorEastAsia" w:hAnsiTheme="minorHAnsi" w:cstheme="minorHAnsi"/>
          <w:color w:val="2F5496"/>
          <w:sz w:val="28"/>
          <w:szCs w:val="28"/>
          <w:lang w:val="en-US" w:eastAsia="en-US"/>
        </w:rPr>
      </w:pPr>
      <w:r w:rsidRPr="00DD6227">
        <w:rPr>
          <w:rFonts w:asciiTheme="minorHAnsi" w:eastAsiaTheme="minorEastAsia" w:hAnsiTheme="minorHAnsi" w:cstheme="minorHAnsi"/>
          <w:color w:val="2F5496"/>
          <w:sz w:val="28"/>
          <w:szCs w:val="28"/>
          <w:lang w:val="en-US" w:eastAsia="en-US"/>
        </w:rPr>
        <w:t>Background</w:t>
      </w:r>
    </w:p>
    <w:p w14:paraId="7C88A53C" w14:textId="2FEB78EC" w:rsidR="006423DA" w:rsidRPr="00DD6227" w:rsidRDefault="00E55A8E" w:rsidP="006423DA">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An entity that</w:t>
      </w:r>
      <w:r w:rsidR="00871F10" w:rsidRPr="00DD6227">
        <w:rPr>
          <w:rFonts w:asciiTheme="minorHAnsi" w:eastAsiaTheme="minorEastAsia" w:hAnsiTheme="minorHAnsi" w:cstheme="minorHAnsi"/>
          <w:sz w:val="22"/>
          <w:szCs w:val="22"/>
          <w:lang w:val="en-US" w:eastAsia="en-US"/>
        </w:rPr>
        <w:t xml:space="preserve"> applie</w:t>
      </w:r>
      <w:r w:rsidR="008F2C72" w:rsidRPr="00DD6227">
        <w:rPr>
          <w:rFonts w:asciiTheme="minorHAnsi" w:eastAsiaTheme="minorEastAsia" w:hAnsiTheme="minorHAnsi" w:cstheme="minorHAnsi"/>
          <w:sz w:val="22"/>
          <w:szCs w:val="22"/>
          <w:lang w:val="en-US" w:eastAsia="en-US"/>
        </w:rPr>
        <w:t xml:space="preserve">s to be registered as a charity with the ACNC </w:t>
      </w:r>
      <w:r w:rsidR="006423DA" w:rsidRPr="00DD6227">
        <w:rPr>
          <w:rFonts w:asciiTheme="minorHAnsi" w:eastAsiaTheme="minorEastAsia" w:hAnsiTheme="minorHAnsi" w:cstheme="minorHAnsi"/>
          <w:sz w:val="22"/>
          <w:szCs w:val="22"/>
          <w:lang w:val="en-US" w:eastAsia="en-US"/>
        </w:rPr>
        <w:t>may</w:t>
      </w:r>
      <w:r w:rsidRPr="00DD6227">
        <w:rPr>
          <w:rFonts w:asciiTheme="minorHAnsi" w:eastAsiaTheme="minorEastAsia" w:hAnsiTheme="minorHAnsi" w:cstheme="minorHAnsi"/>
          <w:sz w:val="22"/>
          <w:szCs w:val="22"/>
          <w:lang w:val="en-US" w:eastAsia="en-US"/>
        </w:rPr>
        <w:t xml:space="preserve"> also</w:t>
      </w:r>
      <w:r w:rsidR="006423DA" w:rsidRPr="00DD6227">
        <w:rPr>
          <w:rFonts w:asciiTheme="minorHAnsi" w:eastAsiaTheme="minorEastAsia" w:hAnsiTheme="minorHAnsi" w:cstheme="minorHAnsi"/>
          <w:sz w:val="22"/>
          <w:szCs w:val="22"/>
          <w:lang w:val="en-US" w:eastAsia="en-US"/>
        </w:rPr>
        <w:t xml:space="preserve"> apply to be registered with one or more of 14 subtypes of charity. One of the subtypes is </w:t>
      </w:r>
      <w:r w:rsidR="00B63915" w:rsidRPr="00DD6227">
        <w:rPr>
          <w:rFonts w:asciiTheme="minorHAnsi" w:eastAsiaTheme="minorEastAsia" w:hAnsiTheme="minorHAnsi" w:cstheme="minorHAnsi"/>
          <w:sz w:val="22"/>
          <w:szCs w:val="22"/>
          <w:lang w:val="en-US" w:eastAsia="en-US"/>
        </w:rPr>
        <w:t>a ‘</w:t>
      </w:r>
      <w:r w:rsidR="00D22307">
        <w:rPr>
          <w:rFonts w:asciiTheme="minorHAnsi" w:eastAsiaTheme="minorEastAsia" w:hAnsiTheme="minorHAnsi" w:cstheme="minorHAnsi"/>
          <w:sz w:val="22"/>
          <w:szCs w:val="22"/>
          <w:lang w:val="en-US" w:eastAsia="en-US"/>
        </w:rPr>
        <w:t>P</w:t>
      </w:r>
      <w:r w:rsidR="00B63915" w:rsidRPr="00DD6227">
        <w:rPr>
          <w:rFonts w:asciiTheme="minorHAnsi" w:eastAsiaTheme="minorEastAsia" w:hAnsiTheme="minorHAnsi" w:cstheme="minorHAnsi"/>
          <w:sz w:val="22"/>
          <w:szCs w:val="22"/>
          <w:lang w:val="en-US" w:eastAsia="en-US"/>
        </w:rPr>
        <w:t xml:space="preserve">ublic </w:t>
      </w:r>
      <w:r w:rsidR="00D22307">
        <w:rPr>
          <w:rFonts w:asciiTheme="minorHAnsi" w:eastAsiaTheme="minorEastAsia" w:hAnsiTheme="minorHAnsi" w:cstheme="minorHAnsi"/>
          <w:sz w:val="22"/>
          <w:szCs w:val="22"/>
          <w:lang w:val="en-US" w:eastAsia="en-US"/>
        </w:rPr>
        <w:t>B</w:t>
      </w:r>
      <w:r w:rsidR="00B63915" w:rsidRPr="00DD6227">
        <w:rPr>
          <w:rFonts w:asciiTheme="minorHAnsi" w:eastAsiaTheme="minorEastAsia" w:hAnsiTheme="minorHAnsi" w:cstheme="minorHAnsi"/>
          <w:sz w:val="22"/>
          <w:szCs w:val="22"/>
          <w:lang w:val="en-US" w:eastAsia="en-US"/>
        </w:rPr>
        <w:t xml:space="preserve">enevolent </w:t>
      </w:r>
      <w:r w:rsidR="00D22307">
        <w:rPr>
          <w:rFonts w:asciiTheme="minorHAnsi" w:eastAsiaTheme="minorEastAsia" w:hAnsiTheme="minorHAnsi" w:cstheme="minorHAnsi"/>
          <w:sz w:val="22"/>
          <w:szCs w:val="22"/>
          <w:lang w:val="en-US" w:eastAsia="en-US"/>
        </w:rPr>
        <w:t>I</w:t>
      </w:r>
      <w:r w:rsidR="00B63915" w:rsidRPr="00DD6227">
        <w:rPr>
          <w:rFonts w:asciiTheme="minorHAnsi" w:eastAsiaTheme="minorEastAsia" w:hAnsiTheme="minorHAnsi" w:cstheme="minorHAnsi"/>
          <w:sz w:val="22"/>
          <w:szCs w:val="22"/>
          <w:lang w:val="en-US" w:eastAsia="en-US"/>
        </w:rPr>
        <w:t>nstitution’ (PBI)</w:t>
      </w:r>
      <w:r w:rsidR="00FC1B20" w:rsidRPr="00DD6227">
        <w:rPr>
          <w:rFonts w:asciiTheme="minorHAnsi" w:eastAsiaTheme="minorEastAsia" w:hAnsiTheme="minorHAnsi" w:cstheme="minorHAnsi"/>
          <w:sz w:val="22"/>
          <w:szCs w:val="22"/>
          <w:lang w:val="en-US" w:eastAsia="en-US"/>
        </w:rPr>
        <w:t>.</w:t>
      </w:r>
      <w:r w:rsidR="006423DA" w:rsidRPr="00DD6227">
        <w:rPr>
          <w:rFonts w:asciiTheme="minorHAnsi" w:eastAsiaTheme="minorEastAsia" w:hAnsiTheme="minorHAnsi" w:cstheme="minorHAnsi"/>
          <w:sz w:val="22"/>
          <w:szCs w:val="22"/>
          <w:lang w:val="en-US" w:eastAsia="en-US"/>
        </w:rPr>
        <w:t xml:space="preserve"> </w:t>
      </w:r>
    </w:p>
    <w:p w14:paraId="33CBA74A" w14:textId="6CC8CD87" w:rsidR="002C1566" w:rsidRDefault="006423DA">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To be entitled to registration </w:t>
      </w:r>
      <w:r w:rsidR="00852403">
        <w:rPr>
          <w:rFonts w:asciiTheme="minorHAnsi" w:eastAsiaTheme="minorEastAsia" w:hAnsiTheme="minorHAnsi" w:cstheme="minorHAnsi"/>
          <w:sz w:val="22"/>
          <w:szCs w:val="22"/>
          <w:lang w:val="en-US" w:eastAsia="en-US"/>
        </w:rPr>
        <w:t xml:space="preserve">as a </w:t>
      </w:r>
      <w:r w:rsidR="00B63915" w:rsidRPr="00DD6227">
        <w:rPr>
          <w:rFonts w:asciiTheme="minorHAnsi" w:eastAsiaTheme="minorEastAsia" w:hAnsiTheme="minorHAnsi" w:cstheme="minorHAnsi"/>
          <w:sz w:val="22"/>
          <w:szCs w:val="22"/>
          <w:lang w:val="en-US" w:eastAsia="en-US"/>
        </w:rPr>
        <w:t>PBI</w:t>
      </w:r>
      <w:r w:rsidRPr="00DD6227">
        <w:rPr>
          <w:rFonts w:asciiTheme="minorHAnsi" w:eastAsiaTheme="minorEastAsia" w:hAnsiTheme="minorHAnsi" w:cstheme="minorHAnsi"/>
          <w:sz w:val="22"/>
          <w:szCs w:val="22"/>
          <w:lang w:val="en-US" w:eastAsia="en-US"/>
        </w:rPr>
        <w:t xml:space="preserve">, a </w:t>
      </w:r>
      <w:r w:rsidR="00AE3617">
        <w:rPr>
          <w:rFonts w:asciiTheme="minorHAnsi" w:eastAsiaTheme="minorEastAsia" w:hAnsiTheme="minorHAnsi" w:cstheme="minorHAnsi"/>
          <w:sz w:val="22"/>
          <w:szCs w:val="22"/>
          <w:lang w:val="en-US" w:eastAsia="en-US"/>
        </w:rPr>
        <w:t xml:space="preserve">registered </w:t>
      </w:r>
      <w:r w:rsidRPr="00DD6227">
        <w:rPr>
          <w:rFonts w:asciiTheme="minorHAnsi" w:eastAsiaTheme="minorEastAsia" w:hAnsiTheme="minorHAnsi" w:cstheme="minorHAnsi"/>
          <w:sz w:val="22"/>
          <w:szCs w:val="22"/>
          <w:lang w:val="en-US" w:eastAsia="en-US"/>
        </w:rPr>
        <w:t>charity must</w:t>
      </w:r>
      <w:r w:rsidR="00852403">
        <w:rPr>
          <w:rFonts w:asciiTheme="minorHAnsi" w:eastAsiaTheme="minorEastAsia" w:hAnsiTheme="minorHAnsi" w:cstheme="minorHAnsi"/>
          <w:sz w:val="22"/>
          <w:szCs w:val="22"/>
          <w:lang w:val="en-US" w:eastAsia="en-US"/>
        </w:rPr>
        <w:t xml:space="preserve"> </w:t>
      </w:r>
      <w:r w:rsidRPr="00BA13F9">
        <w:rPr>
          <w:rFonts w:asciiTheme="minorHAnsi" w:eastAsiaTheme="minorEastAsia" w:hAnsiTheme="minorHAnsi" w:cstheme="minorHAnsi"/>
          <w:sz w:val="22"/>
          <w:szCs w:val="22"/>
          <w:lang w:val="en-US" w:eastAsia="en-US"/>
        </w:rPr>
        <w:t xml:space="preserve">meet the description of </w:t>
      </w:r>
      <w:r w:rsidR="00B63915" w:rsidRPr="00BA13F9">
        <w:rPr>
          <w:rFonts w:asciiTheme="minorHAnsi" w:eastAsiaTheme="minorEastAsia" w:hAnsiTheme="minorHAnsi" w:cstheme="minorHAnsi"/>
          <w:sz w:val="22"/>
          <w:szCs w:val="22"/>
          <w:lang w:val="en-US" w:eastAsia="en-US"/>
        </w:rPr>
        <w:t>a PBI.</w:t>
      </w:r>
    </w:p>
    <w:p w14:paraId="65F7347B" w14:textId="3C3FE843" w:rsidR="002C1566" w:rsidRDefault="00421A1B" w:rsidP="002C1566">
      <w:pPr>
        <w:pStyle w:val="ListParagraph"/>
        <w:numPr>
          <w:ilvl w:val="1"/>
          <w:numId w:val="1"/>
        </w:numPr>
        <w:spacing w:before="120" w:after="120" w:line="276" w:lineRule="auto"/>
        <w:textAlignment w:val="baseline"/>
        <w:rPr>
          <w:rFonts w:asciiTheme="minorHAnsi" w:eastAsiaTheme="minorEastAsia" w:hAnsiTheme="minorHAnsi" w:cstheme="minorHAnsi"/>
          <w:sz w:val="22"/>
          <w:szCs w:val="22"/>
          <w:lang w:val="en-US" w:eastAsia="en-US"/>
        </w:rPr>
      </w:pPr>
      <w:r>
        <w:rPr>
          <w:rFonts w:asciiTheme="minorHAnsi" w:eastAsiaTheme="minorEastAsia" w:hAnsiTheme="minorHAnsi" w:cstheme="minorHAnsi"/>
          <w:sz w:val="22"/>
          <w:szCs w:val="22"/>
          <w:lang w:val="en-US" w:eastAsia="en-US"/>
        </w:rPr>
        <w:t>a</w:t>
      </w:r>
      <w:r w:rsidR="002C1566">
        <w:rPr>
          <w:rFonts w:asciiTheme="minorHAnsi" w:eastAsiaTheme="minorEastAsia" w:hAnsiTheme="minorHAnsi" w:cstheme="minorHAnsi"/>
          <w:sz w:val="22"/>
          <w:szCs w:val="22"/>
          <w:lang w:val="en-US" w:eastAsia="en-US"/>
        </w:rPr>
        <w:t xml:space="preserve">pply to be registered with the PBI </w:t>
      </w:r>
      <w:proofErr w:type="gramStart"/>
      <w:r w:rsidR="002C1566">
        <w:rPr>
          <w:rFonts w:asciiTheme="minorHAnsi" w:eastAsiaTheme="minorEastAsia" w:hAnsiTheme="minorHAnsi" w:cstheme="minorHAnsi"/>
          <w:sz w:val="22"/>
          <w:szCs w:val="22"/>
          <w:lang w:val="en-US" w:eastAsia="en-US"/>
        </w:rPr>
        <w:t>subtype;</w:t>
      </w:r>
      <w:proofErr w:type="gramEnd"/>
    </w:p>
    <w:p w14:paraId="79D4D43B" w14:textId="6E60DEFB" w:rsidR="00421A1B" w:rsidRPr="00BA13F9" w:rsidRDefault="00421A1B" w:rsidP="002C1566">
      <w:pPr>
        <w:pStyle w:val="ListParagraph"/>
        <w:numPr>
          <w:ilvl w:val="1"/>
          <w:numId w:val="1"/>
        </w:numPr>
        <w:spacing w:before="120" w:after="120" w:line="276" w:lineRule="auto"/>
        <w:textAlignment w:val="baseline"/>
        <w:rPr>
          <w:rFonts w:asciiTheme="minorHAnsi" w:eastAsiaTheme="minorEastAsia" w:hAnsiTheme="minorHAnsi" w:cstheme="minorHAnsi"/>
          <w:sz w:val="22"/>
          <w:szCs w:val="22"/>
          <w:lang w:val="en-US" w:eastAsia="en-US"/>
        </w:rPr>
      </w:pPr>
      <w:r>
        <w:rPr>
          <w:rFonts w:asciiTheme="minorHAnsi" w:eastAsiaTheme="minorEastAsia" w:hAnsiTheme="minorHAnsi" w:cstheme="minorHAnsi"/>
          <w:sz w:val="22"/>
          <w:szCs w:val="22"/>
          <w:lang w:val="en-US" w:eastAsia="en-US"/>
        </w:rPr>
        <w:t>m</w:t>
      </w:r>
      <w:r w:rsidR="002C1566">
        <w:rPr>
          <w:rFonts w:asciiTheme="minorHAnsi" w:eastAsiaTheme="minorEastAsia" w:hAnsiTheme="minorHAnsi" w:cstheme="minorHAnsi"/>
          <w:sz w:val="22"/>
          <w:szCs w:val="22"/>
          <w:lang w:val="en-US" w:eastAsia="en-US"/>
        </w:rPr>
        <w:t xml:space="preserve">eet the conditions set out in s 25-5(3) of the </w:t>
      </w:r>
      <w:r w:rsidRPr="00016FD4">
        <w:rPr>
          <w:rFonts w:ascii="Calibri" w:eastAsiaTheme="minorEastAsia" w:hAnsi="Calibri"/>
          <w:i/>
          <w:iCs/>
          <w:sz w:val="22"/>
          <w:szCs w:val="22"/>
          <w:lang w:val="en-US" w:eastAsia="en-US"/>
        </w:rPr>
        <w:t>Australian Charities and Not-for-profits Commission Act 2012</w:t>
      </w:r>
      <w:r>
        <w:rPr>
          <w:rFonts w:ascii="Calibri" w:eastAsiaTheme="minorEastAsia" w:hAnsi="Calibri"/>
          <w:sz w:val="22"/>
          <w:szCs w:val="22"/>
          <w:lang w:val="en-US" w:eastAsia="en-US"/>
        </w:rPr>
        <w:t xml:space="preserve"> (</w:t>
      </w:r>
      <w:proofErr w:type="spellStart"/>
      <w:r>
        <w:rPr>
          <w:rFonts w:ascii="Calibri" w:eastAsiaTheme="minorEastAsia" w:hAnsi="Calibri"/>
          <w:sz w:val="22"/>
          <w:szCs w:val="22"/>
          <w:lang w:val="en-US" w:eastAsia="en-US"/>
        </w:rPr>
        <w:t>Cth</w:t>
      </w:r>
      <w:proofErr w:type="spellEnd"/>
      <w:r>
        <w:rPr>
          <w:rFonts w:ascii="Calibri" w:eastAsiaTheme="minorEastAsia" w:hAnsi="Calibri"/>
          <w:sz w:val="22"/>
          <w:szCs w:val="22"/>
          <w:lang w:val="en-US" w:eastAsia="en-US"/>
        </w:rPr>
        <w:t>) (note: registered charities already meet these conditions); and</w:t>
      </w:r>
    </w:p>
    <w:p w14:paraId="33909B1D" w14:textId="2CA6FFA9" w:rsidR="006423DA" w:rsidRPr="00BA13F9" w:rsidRDefault="00421A1B" w:rsidP="00E73120">
      <w:pPr>
        <w:pStyle w:val="ListParagraph"/>
        <w:numPr>
          <w:ilvl w:val="1"/>
          <w:numId w:val="1"/>
        </w:numPr>
        <w:spacing w:before="120" w:after="120" w:line="276" w:lineRule="auto"/>
        <w:textAlignment w:val="baseline"/>
        <w:rPr>
          <w:rFonts w:asciiTheme="minorHAnsi" w:eastAsiaTheme="minorEastAsia" w:hAnsiTheme="minorHAnsi" w:cstheme="minorHAnsi"/>
          <w:sz w:val="22"/>
          <w:szCs w:val="22"/>
          <w:lang w:val="en-US" w:eastAsia="en-US"/>
        </w:rPr>
      </w:pPr>
      <w:r>
        <w:rPr>
          <w:rFonts w:ascii="Calibri" w:eastAsiaTheme="minorEastAsia" w:hAnsi="Calibri"/>
          <w:sz w:val="22"/>
          <w:szCs w:val="22"/>
          <w:lang w:val="en-US" w:eastAsia="en-US"/>
        </w:rPr>
        <w:t>meet the description of a ‘Public Benevolent Institution’.</w:t>
      </w:r>
      <w:r w:rsidR="006423DA" w:rsidRPr="00BA13F9">
        <w:rPr>
          <w:rFonts w:asciiTheme="minorHAnsi" w:eastAsiaTheme="minorEastAsia" w:hAnsiTheme="minorHAnsi" w:cstheme="minorHAnsi"/>
          <w:sz w:val="22"/>
          <w:szCs w:val="22"/>
          <w:lang w:val="en-US" w:eastAsia="en-US"/>
        </w:rPr>
        <w:t xml:space="preserve"> </w:t>
      </w:r>
    </w:p>
    <w:p w14:paraId="4D9B643A" w14:textId="39374EBC" w:rsidR="006423DA" w:rsidRPr="00DD6227" w:rsidRDefault="006423DA" w:rsidP="006423DA">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A charity must be registered </w:t>
      </w:r>
      <w:r w:rsidR="0098296E">
        <w:rPr>
          <w:rFonts w:asciiTheme="minorHAnsi" w:eastAsiaTheme="minorEastAsia" w:hAnsiTheme="minorHAnsi" w:cstheme="minorHAnsi"/>
          <w:sz w:val="22"/>
          <w:szCs w:val="22"/>
          <w:lang w:val="en-US" w:eastAsia="en-US"/>
        </w:rPr>
        <w:t>as a</w:t>
      </w:r>
      <w:r w:rsidRPr="00DD6227">
        <w:rPr>
          <w:rFonts w:asciiTheme="minorHAnsi" w:eastAsiaTheme="minorEastAsia" w:hAnsiTheme="minorHAnsi" w:cstheme="minorHAnsi"/>
          <w:sz w:val="22"/>
          <w:szCs w:val="22"/>
          <w:lang w:val="en-US" w:eastAsia="en-US"/>
        </w:rPr>
        <w:t xml:space="preserve"> </w:t>
      </w:r>
      <w:r w:rsidR="00D5179C" w:rsidRPr="00DD6227">
        <w:rPr>
          <w:rFonts w:asciiTheme="minorHAnsi" w:eastAsiaTheme="minorEastAsia" w:hAnsiTheme="minorHAnsi" w:cstheme="minorHAnsi"/>
          <w:sz w:val="22"/>
          <w:szCs w:val="22"/>
          <w:lang w:val="en-US" w:eastAsia="en-US"/>
        </w:rPr>
        <w:t>PBI</w:t>
      </w:r>
      <w:r w:rsidRPr="00DD6227">
        <w:rPr>
          <w:rFonts w:asciiTheme="minorHAnsi" w:eastAsiaTheme="minorEastAsia" w:hAnsiTheme="minorHAnsi" w:cstheme="minorHAnsi"/>
          <w:sz w:val="22"/>
          <w:szCs w:val="22"/>
          <w:lang w:val="en-US" w:eastAsia="en-US"/>
        </w:rPr>
        <w:t xml:space="preserve"> if it </w:t>
      </w:r>
      <w:r w:rsidR="0098296E">
        <w:rPr>
          <w:rFonts w:asciiTheme="minorHAnsi" w:eastAsiaTheme="minorEastAsia" w:hAnsiTheme="minorHAnsi" w:cstheme="minorHAnsi"/>
          <w:sz w:val="22"/>
          <w:szCs w:val="22"/>
          <w:lang w:val="en-US" w:eastAsia="en-US"/>
        </w:rPr>
        <w:t>wants</w:t>
      </w:r>
      <w:r w:rsidR="0098296E" w:rsidRPr="00DD6227">
        <w:rPr>
          <w:rFonts w:asciiTheme="minorHAnsi" w:eastAsiaTheme="minorEastAsia" w:hAnsiTheme="minorHAnsi" w:cstheme="minorHAnsi"/>
          <w:sz w:val="22"/>
          <w:szCs w:val="22"/>
          <w:lang w:val="en-US" w:eastAsia="en-US"/>
        </w:rPr>
        <w:t xml:space="preserve"> </w:t>
      </w:r>
      <w:r w:rsidRPr="00DD6227">
        <w:rPr>
          <w:rFonts w:asciiTheme="minorHAnsi" w:eastAsiaTheme="minorEastAsia" w:hAnsiTheme="minorHAnsi" w:cstheme="minorHAnsi"/>
          <w:sz w:val="22"/>
          <w:szCs w:val="22"/>
          <w:lang w:val="en-US" w:eastAsia="en-US"/>
        </w:rPr>
        <w:t>to apply for the following Commonwealth tax concessions:</w:t>
      </w:r>
    </w:p>
    <w:p w14:paraId="5D60E3DA" w14:textId="7100557F" w:rsidR="006423DA" w:rsidRPr="00DD6227" w:rsidRDefault="006423DA" w:rsidP="006423DA">
      <w:pPr>
        <w:pStyle w:val="ListParagraph"/>
        <w:numPr>
          <w:ilvl w:val="1"/>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endorsement as a deductible gift recipient (DGR) under item </w:t>
      </w:r>
      <w:r w:rsidR="00C301C2" w:rsidRPr="00DD6227">
        <w:rPr>
          <w:rFonts w:asciiTheme="minorHAnsi" w:eastAsiaTheme="minorEastAsia" w:hAnsiTheme="minorHAnsi" w:cstheme="minorHAnsi"/>
          <w:sz w:val="22"/>
          <w:szCs w:val="22"/>
          <w:lang w:val="en-US" w:eastAsia="en-US"/>
        </w:rPr>
        <w:t>4.1.1</w:t>
      </w:r>
      <w:r w:rsidRPr="00DD6227">
        <w:rPr>
          <w:rFonts w:asciiTheme="minorHAnsi" w:eastAsiaTheme="minorEastAsia" w:hAnsiTheme="minorHAnsi" w:cstheme="minorHAnsi"/>
          <w:sz w:val="22"/>
          <w:szCs w:val="22"/>
          <w:lang w:val="en-US" w:eastAsia="en-US"/>
        </w:rPr>
        <w:t xml:space="preserve"> in s 30-</w:t>
      </w:r>
      <w:r w:rsidR="00C301C2" w:rsidRPr="00DD6227">
        <w:rPr>
          <w:rFonts w:asciiTheme="minorHAnsi" w:eastAsiaTheme="minorEastAsia" w:hAnsiTheme="minorHAnsi" w:cstheme="minorHAnsi"/>
          <w:sz w:val="22"/>
          <w:szCs w:val="22"/>
          <w:lang w:val="en-US" w:eastAsia="en-US"/>
        </w:rPr>
        <w:t>45</w:t>
      </w:r>
      <w:r w:rsidRPr="00DD6227">
        <w:rPr>
          <w:rFonts w:asciiTheme="minorHAnsi" w:eastAsiaTheme="minorEastAsia" w:hAnsiTheme="minorHAnsi" w:cstheme="minorHAnsi"/>
          <w:sz w:val="22"/>
          <w:szCs w:val="22"/>
          <w:lang w:val="en-US" w:eastAsia="en-US"/>
        </w:rPr>
        <w:t xml:space="preserve">(1) of the </w:t>
      </w:r>
      <w:r w:rsidRPr="00DD6227">
        <w:rPr>
          <w:rFonts w:asciiTheme="minorHAnsi" w:eastAsiaTheme="minorEastAsia" w:hAnsiTheme="minorHAnsi" w:cstheme="minorHAnsi"/>
          <w:i/>
          <w:iCs/>
          <w:sz w:val="22"/>
          <w:szCs w:val="22"/>
          <w:lang w:val="en-US" w:eastAsia="en-US"/>
        </w:rPr>
        <w:t>Income Tax Assessment Act 1997</w:t>
      </w:r>
      <w:r w:rsidRPr="00DD6227">
        <w:rPr>
          <w:rFonts w:asciiTheme="minorHAnsi" w:eastAsiaTheme="minorEastAsia" w:hAnsiTheme="minorHAnsi" w:cstheme="minorHAnsi"/>
          <w:sz w:val="22"/>
          <w:szCs w:val="22"/>
          <w:lang w:val="en-US" w:eastAsia="en-US"/>
        </w:rPr>
        <w:t xml:space="preserve"> (</w:t>
      </w:r>
      <w:proofErr w:type="spellStart"/>
      <w:r w:rsidRPr="00DD6227">
        <w:rPr>
          <w:rFonts w:asciiTheme="minorHAnsi" w:eastAsiaTheme="minorEastAsia" w:hAnsiTheme="minorHAnsi" w:cstheme="minorHAnsi"/>
          <w:sz w:val="22"/>
          <w:szCs w:val="22"/>
          <w:lang w:val="en-US" w:eastAsia="en-US"/>
        </w:rPr>
        <w:t>Cth</w:t>
      </w:r>
      <w:proofErr w:type="spellEnd"/>
      <w:r w:rsidRPr="00DD6227">
        <w:rPr>
          <w:rFonts w:asciiTheme="minorHAnsi" w:eastAsiaTheme="minorEastAsia" w:hAnsiTheme="minorHAnsi" w:cstheme="minorHAnsi"/>
          <w:sz w:val="22"/>
          <w:szCs w:val="22"/>
          <w:lang w:val="en-US" w:eastAsia="en-US"/>
        </w:rPr>
        <w:t>)</w:t>
      </w:r>
    </w:p>
    <w:p w14:paraId="691219C7" w14:textId="0E78743A" w:rsidR="006423DA" w:rsidRPr="00DD6227" w:rsidRDefault="006423DA" w:rsidP="006423DA">
      <w:pPr>
        <w:pStyle w:val="ListParagraph"/>
        <w:numPr>
          <w:ilvl w:val="1"/>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lastRenderedPageBreak/>
        <w:t>endorsement for fringe benefit tax exemption under s 57</w:t>
      </w:r>
      <w:proofErr w:type="gramStart"/>
      <w:r w:rsidRPr="00DD6227">
        <w:rPr>
          <w:rFonts w:asciiTheme="minorHAnsi" w:eastAsiaTheme="minorEastAsia" w:hAnsiTheme="minorHAnsi" w:cstheme="minorHAnsi"/>
          <w:sz w:val="22"/>
          <w:szCs w:val="22"/>
          <w:lang w:val="en-US" w:eastAsia="en-US"/>
        </w:rPr>
        <w:t>A(</w:t>
      </w:r>
      <w:proofErr w:type="gramEnd"/>
      <w:r w:rsidR="00FC589C" w:rsidRPr="00DD6227">
        <w:rPr>
          <w:rFonts w:asciiTheme="minorHAnsi" w:eastAsiaTheme="minorEastAsia" w:hAnsiTheme="minorHAnsi" w:cstheme="minorHAnsi"/>
          <w:sz w:val="22"/>
          <w:szCs w:val="22"/>
          <w:lang w:val="en-US" w:eastAsia="en-US"/>
        </w:rPr>
        <w:t>1</w:t>
      </w:r>
      <w:r w:rsidRPr="00DD6227">
        <w:rPr>
          <w:rFonts w:asciiTheme="minorHAnsi" w:eastAsiaTheme="minorEastAsia" w:hAnsiTheme="minorHAnsi" w:cstheme="minorHAnsi"/>
          <w:sz w:val="22"/>
          <w:szCs w:val="22"/>
          <w:lang w:val="en-US" w:eastAsia="en-US"/>
        </w:rPr>
        <w:t xml:space="preserve">) of the </w:t>
      </w:r>
      <w:r w:rsidRPr="00DD6227">
        <w:rPr>
          <w:rFonts w:asciiTheme="minorHAnsi" w:eastAsiaTheme="minorEastAsia" w:hAnsiTheme="minorHAnsi" w:cstheme="minorHAnsi"/>
          <w:i/>
          <w:iCs/>
          <w:sz w:val="22"/>
          <w:szCs w:val="22"/>
          <w:lang w:val="en-US" w:eastAsia="en-US"/>
        </w:rPr>
        <w:t>Fringe Benefit Tax Assessment Act 1986</w:t>
      </w:r>
      <w:r w:rsidRPr="00DD6227">
        <w:rPr>
          <w:rFonts w:asciiTheme="minorHAnsi" w:eastAsiaTheme="minorEastAsia" w:hAnsiTheme="minorHAnsi" w:cstheme="minorHAnsi"/>
          <w:sz w:val="22"/>
          <w:szCs w:val="22"/>
          <w:lang w:val="en-US" w:eastAsia="en-US"/>
        </w:rPr>
        <w:t xml:space="preserve"> (</w:t>
      </w:r>
      <w:proofErr w:type="spellStart"/>
      <w:r w:rsidRPr="00DD6227">
        <w:rPr>
          <w:rFonts w:asciiTheme="minorHAnsi" w:eastAsiaTheme="minorEastAsia" w:hAnsiTheme="minorHAnsi" w:cstheme="minorHAnsi"/>
          <w:sz w:val="22"/>
          <w:szCs w:val="22"/>
          <w:lang w:val="en-US" w:eastAsia="en-US"/>
        </w:rPr>
        <w:t>Cth</w:t>
      </w:r>
      <w:proofErr w:type="spellEnd"/>
      <w:r w:rsidRPr="00DD6227">
        <w:rPr>
          <w:rFonts w:asciiTheme="minorHAnsi" w:eastAsiaTheme="minorEastAsia" w:hAnsiTheme="minorHAnsi" w:cstheme="minorHAnsi"/>
          <w:sz w:val="22"/>
          <w:szCs w:val="22"/>
          <w:lang w:val="en-US" w:eastAsia="en-US"/>
        </w:rPr>
        <w:t xml:space="preserve">). </w:t>
      </w:r>
    </w:p>
    <w:p w14:paraId="7673E399" w14:textId="385A0D1C" w:rsidR="006423DA" w:rsidRPr="00DD6227" w:rsidRDefault="00A33E5B" w:rsidP="006423DA">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Pr>
          <w:rFonts w:asciiTheme="minorHAnsi" w:eastAsiaTheme="minorEastAsia" w:hAnsiTheme="minorHAnsi" w:cstheme="minorHAnsi"/>
          <w:sz w:val="22"/>
          <w:szCs w:val="22"/>
          <w:lang w:val="en-US" w:eastAsia="en-US"/>
        </w:rPr>
        <w:t>A</w:t>
      </w:r>
      <w:r w:rsidR="006423DA" w:rsidRPr="00DD6227">
        <w:rPr>
          <w:rFonts w:asciiTheme="minorHAnsi" w:eastAsiaTheme="minorEastAsia" w:hAnsiTheme="minorHAnsi" w:cstheme="minorHAnsi"/>
          <w:sz w:val="22"/>
          <w:szCs w:val="22"/>
          <w:lang w:val="en-US" w:eastAsia="en-US"/>
        </w:rPr>
        <w:t xml:space="preserve">ll </w:t>
      </w:r>
      <w:r w:rsidR="00735650" w:rsidRPr="00DD6227">
        <w:rPr>
          <w:rFonts w:asciiTheme="minorHAnsi" w:eastAsiaTheme="minorEastAsia" w:hAnsiTheme="minorHAnsi" w:cstheme="minorHAnsi"/>
          <w:sz w:val="22"/>
          <w:szCs w:val="22"/>
          <w:lang w:val="en-US" w:eastAsia="en-US"/>
        </w:rPr>
        <w:t>PBI</w:t>
      </w:r>
      <w:r w:rsidR="006423DA" w:rsidRPr="00DD6227">
        <w:rPr>
          <w:rFonts w:asciiTheme="minorHAnsi" w:eastAsiaTheme="minorEastAsia" w:hAnsiTheme="minorHAnsi" w:cstheme="minorHAnsi"/>
          <w:sz w:val="22"/>
          <w:szCs w:val="22"/>
          <w:lang w:val="en-US" w:eastAsia="en-US"/>
        </w:rPr>
        <w:t xml:space="preserve">s must meet the </w:t>
      </w:r>
      <w:hyperlink r:id="rId11" w:history="1">
        <w:r w:rsidR="006423DA" w:rsidRPr="00A33E5B">
          <w:rPr>
            <w:rStyle w:val="Hyperlink"/>
            <w:rFonts w:asciiTheme="minorHAnsi" w:eastAsiaTheme="minorEastAsia" w:hAnsiTheme="minorHAnsi" w:cstheme="minorHAnsi"/>
            <w:sz w:val="22"/>
            <w:szCs w:val="22"/>
            <w:lang w:val="en-US" w:eastAsia="en-US"/>
          </w:rPr>
          <w:t>charity registration requirements</w:t>
        </w:r>
      </w:hyperlink>
      <w:r w:rsidR="006423DA" w:rsidRPr="00DD6227">
        <w:rPr>
          <w:rFonts w:asciiTheme="minorHAnsi" w:eastAsiaTheme="minorEastAsia" w:hAnsiTheme="minorHAnsi" w:cstheme="minorHAnsi"/>
          <w:sz w:val="22"/>
          <w:szCs w:val="22"/>
          <w:lang w:val="en-US" w:eastAsia="en-US"/>
        </w:rPr>
        <w:t>.</w:t>
      </w:r>
    </w:p>
    <w:p w14:paraId="56EF4B88" w14:textId="5F299E2B" w:rsidR="006423DA" w:rsidRPr="00DD6227" w:rsidRDefault="006423DA" w:rsidP="006423DA">
      <w:pPr>
        <w:spacing w:before="120" w:after="120" w:line="276" w:lineRule="auto"/>
        <w:textAlignment w:val="baseline"/>
        <w:rPr>
          <w:rFonts w:asciiTheme="minorHAnsi" w:eastAsiaTheme="minorEastAsia" w:hAnsiTheme="minorHAnsi" w:cstheme="minorHAnsi"/>
          <w:color w:val="2F5496"/>
          <w:sz w:val="28"/>
          <w:szCs w:val="28"/>
          <w:lang w:val="en-US" w:eastAsia="en-US"/>
        </w:rPr>
      </w:pPr>
      <w:r w:rsidRPr="00DD6227">
        <w:rPr>
          <w:rFonts w:asciiTheme="minorHAnsi" w:eastAsiaTheme="minorEastAsia" w:hAnsiTheme="minorHAnsi" w:cstheme="minorHAnsi"/>
          <w:color w:val="2F5496"/>
          <w:sz w:val="28"/>
          <w:szCs w:val="28"/>
          <w:lang w:val="en-US" w:eastAsia="en-US"/>
        </w:rPr>
        <w:t>How to determine if a charity can be registered</w:t>
      </w:r>
      <w:r w:rsidR="0010000C">
        <w:rPr>
          <w:rFonts w:asciiTheme="minorHAnsi" w:eastAsiaTheme="minorEastAsia" w:hAnsiTheme="minorHAnsi" w:cstheme="minorHAnsi"/>
          <w:color w:val="2F5496"/>
          <w:sz w:val="28"/>
          <w:szCs w:val="28"/>
          <w:lang w:val="en-US" w:eastAsia="en-US"/>
        </w:rPr>
        <w:t xml:space="preserve"> as a </w:t>
      </w:r>
      <w:r w:rsidR="00047740" w:rsidRPr="00DD6227">
        <w:rPr>
          <w:rFonts w:asciiTheme="minorHAnsi" w:eastAsiaTheme="minorEastAsia" w:hAnsiTheme="minorHAnsi" w:cstheme="minorHAnsi"/>
          <w:color w:val="2F5496"/>
          <w:sz w:val="28"/>
          <w:szCs w:val="28"/>
          <w:lang w:val="en-US" w:eastAsia="en-US"/>
        </w:rPr>
        <w:t>PBI</w:t>
      </w:r>
    </w:p>
    <w:p w14:paraId="7B355007" w14:textId="048BA5B1" w:rsidR="005F2D83" w:rsidRPr="00DD6227" w:rsidRDefault="006423DA"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To be entitled to registration</w:t>
      </w:r>
      <w:r w:rsidR="0010000C">
        <w:rPr>
          <w:rFonts w:asciiTheme="minorHAnsi" w:eastAsiaTheme="minorEastAsia" w:hAnsiTheme="minorHAnsi" w:cstheme="minorHAnsi"/>
          <w:sz w:val="22"/>
          <w:szCs w:val="22"/>
          <w:lang w:val="en-US" w:eastAsia="en-US"/>
        </w:rPr>
        <w:t xml:space="preserve"> as a PBI</w:t>
      </w:r>
      <w:r w:rsidRPr="00DD6227">
        <w:rPr>
          <w:rFonts w:asciiTheme="minorHAnsi" w:eastAsiaTheme="minorEastAsia" w:hAnsiTheme="minorHAnsi" w:cstheme="minorHAnsi"/>
          <w:sz w:val="22"/>
          <w:szCs w:val="22"/>
          <w:lang w:val="en-US" w:eastAsia="en-US"/>
        </w:rPr>
        <w:t xml:space="preserve">, a charity must </w:t>
      </w:r>
      <w:r w:rsidR="00C5562F" w:rsidRPr="00DD6227">
        <w:rPr>
          <w:rFonts w:asciiTheme="minorHAnsi" w:eastAsiaTheme="minorEastAsia" w:hAnsiTheme="minorHAnsi" w:cstheme="minorHAnsi"/>
          <w:sz w:val="22"/>
          <w:szCs w:val="22"/>
          <w:lang w:val="en-US" w:eastAsia="en-US"/>
        </w:rPr>
        <w:t xml:space="preserve">demonstrate that it meets </w:t>
      </w:r>
      <w:r w:rsidR="005F2D83" w:rsidRPr="00DD6227">
        <w:rPr>
          <w:rFonts w:asciiTheme="minorHAnsi" w:eastAsiaTheme="minorEastAsia" w:hAnsiTheme="minorHAnsi" w:cstheme="minorHAnsi"/>
          <w:sz w:val="22"/>
          <w:szCs w:val="22"/>
          <w:lang w:val="en-US" w:eastAsia="en-US"/>
        </w:rPr>
        <w:t xml:space="preserve">all three elements of </w:t>
      </w:r>
      <w:r w:rsidR="00C5562F" w:rsidRPr="00DD6227">
        <w:rPr>
          <w:rFonts w:asciiTheme="minorHAnsi" w:eastAsiaTheme="minorEastAsia" w:hAnsiTheme="minorHAnsi" w:cstheme="minorHAnsi"/>
          <w:sz w:val="22"/>
          <w:szCs w:val="22"/>
          <w:lang w:val="en-US" w:eastAsia="en-US"/>
        </w:rPr>
        <w:t>the description of a ‘</w:t>
      </w:r>
      <w:r w:rsidR="0010000C">
        <w:rPr>
          <w:rFonts w:asciiTheme="minorHAnsi" w:eastAsiaTheme="minorEastAsia" w:hAnsiTheme="minorHAnsi" w:cstheme="minorHAnsi"/>
          <w:sz w:val="22"/>
          <w:szCs w:val="22"/>
          <w:lang w:val="en-US" w:eastAsia="en-US"/>
        </w:rPr>
        <w:t>P</w:t>
      </w:r>
      <w:r w:rsidR="00C5562F" w:rsidRPr="00DD6227">
        <w:rPr>
          <w:rFonts w:asciiTheme="minorHAnsi" w:eastAsiaTheme="minorEastAsia" w:hAnsiTheme="minorHAnsi" w:cstheme="minorHAnsi"/>
          <w:sz w:val="22"/>
          <w:szCs w:val="22"/>
          <w:lang w:val="en-US" w:eastAsia="en-US"/>
        </w:rPr>
        <w:t xml:space="preserve">ublic </w:t>
      </w:r>
      <w:r w:rsidR="0010000C">
        <w:rPr>
          <w:rFonts w:asciiTheme="minorHAnsi" w:eastAsiaTheme="minorEastAsia" w:hAnsiTheme="minorHAnsi" w:cstheme="minorHAnsi"/>
          <w:sz w:val="22"/>
          <w:szCs w:val="22"/>
          <w:lang w:val="en-US" w:eastAsia="en-US"/>
        </w:rPr>
        <w:t>B</w:t>
      </w:r>
      <w:r w:rsidR="00C5562F" w:rsidRPr="00DD6227">
        <w:rPr>
          <w:rFonts w:asciiTheme="minorHAnsi" w:eastAsiaTheme="minorEastAsia" w:hAnsiTheme="minorHAnsi" w:cstheme="minorHAnsi"/>
          <w:sz w:val="22"/>
          <w:szCs w:val="22"/>
          <w:lang w:val="en-US" w:eastAsia="en-US"/>
        </w:rPr>
        <w:t xml:space="preserve">enevolent </w:t>
      </w:r>
      <w:r w:rsidR="0010000C">
        <w:rPr>
          <w:rFonts w:asciiTheme="minorHAnsi" w:eastAsiaTheme="minorEastAsia" w:hAnsiTheme="minorHAnsi" w:cstheme="minorHAnsi"/>
          <w:sz w:val="22"/>
          <w:szCs w:val="22"/>
          <w:lang w:val="en-US" w:eastAsia="en-US"/>
        </w:rPr>
        <w:t>I</w:t>
      </w:r>
      <w:r w:rsidR="00C5562F" w:rsidRPr="00DD6227">
        <w:rPr>
          <w:rFonts w:asciiTheme="minorHAnsi" w:eastAsiaTheme="minorEastAsia" w:hAnsiTheme="minorHAnsi" w:cstheme="minorHAnsi"/>
          <w:sz w:val="22"/>
          <w:szCs w:val="22"/>
          <w:lang w:val="en-US" w:eastAsia="en-US"/>
        </w:rPr>
        <w:t>nstitution’</w:t>
      </w:r>
      <w:r w:rsidRPr="00DD6227">
        <w:rPr>
          <w:rFonts w:asciiTheme="minorHAnsi" w:eastAsiaTheme="minorEastAsia" w:hAnsiTheme="minorHAnsi" w:cstheme="minorHAnsi"/>
          <w:sz w:val="22"/>
          <w:szCs w:val="22"/>
          <w:lang w:val="en-US" w:eastAsia="en-US"/>
        </w:rPr>
        <w:t>.</w:t>
      </w:r>
      <w:r w:rsidR="005F2D83" w:rsidRPr="00DD6227">
        <w:rPr>
          <w:rFonts w:asciiTheme="minorHAnsi" w:eastAsiaTheme="minorEastAsia" w:hAnsiTheme="minorHAnsi" w:cstheme="minorHAnsi"/>
          <w:sz w:val="22"/>
          <w:szCs w:val="22"/>
          <w:lang w:val="en-US" w:eastAsia="en-US"/>
        </w:rPr>
        <w:t xml:space="preserve"> That is, the </w:t>
      </w:r>
      <w:r w:rsidR="00B3356A">
        <w:rPr>
          <w:rFonts w:asciiTheme="minorHAnsi" w:eastAsiaTheme="minorEastAsia" w:hAnsiTheme="minorHAnsi" w:cstheme="minorHAnsi"/>
          <w:sz w:val="22"/>
          <w:szCs w:val="22"/>
          <w:lang w:val="en-US" w:eastAsia="en-US"/>
        </w:rPr>
        <w:t>charity</w:t>
      </w:r>
      <w:r w:rsidR="00B3356A" w:rsidRPr="00DD6227">
        <w:rPr>
          <w:rFonts w:asciiTheme="minorHAnsi" w:eastAsiaTheme="minorEastAsia" w:hAnsiTheme="minorHAnsi" w:cstheme="minorHAnsi"/>
          <w:sz w:val="22"/>
          <w:szCs w:val="22"/>
          <w:lang w:val="en-US" w:eastAsia="en-US"/>
        </w:rPr>
        <w:t xml:space="preserve"> </w:t>
      </w:r>
      <w:r w:rsidR="005F2D83" w:rsidRPr="00DD6227">
        <w:rPr>
          <w:rFonts w:asciiTheme="minorHAnsi" w:eastAsiaTheme="minorEastAsia" w:hAnsiTheme="minorHAnsi" w:cstheme="minorHAnsi"/>
          <w:sz w:val="22"/>
          <w:szCs w:val="22"/>
          <w:lang w:val="en-US" w:eastAsia="en-US"/>
        </w:rPr>
        <w:t>must be:</w:t>
      </w:r>
    </w:p>
    <w:p w14:paraId="474C22AA" w14:textId="77961951" w:rsidR="005F2D83" w:rsidRPr="00DD6227" w:rsidRDefault="00FC1807" w:rsidP="005F2D83">
      <w:pPr>
        <w:pStyle w:val="ListParagraph"/>
        <w:numPr>
          <w:ilvl w:val="1"/>
          <w:numId w:val="3"/>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w:t>
      </w:r>
      <w:r w:rsidR="005F2D83" w:rsidRPr="00DD6227">
        <w:rPr>
          <w:rFonts w:asciiTheme="minorHAnsi" w:eastAsiaTheme="minorEastAsia" w:hAnsiTheme="minorHAnsi" w:cstheme="minorHAnsi"/>
          <w:sz w:val="22"/>
          <w:szCs w:val="22"/>
          <w:lang w:val="en-US" w:eastAsia="en-US"/>
        </w:rPr>
        <w:t>public</w:t>
      </w:r>
      <w:r w:rsidRPr="00DD6227">
        <w:rPr>
          <w:rFonts w:asciiTheme="minorHAnsi" w:eastAsiaTheme="minorEastAsia" w:hAnsiTheme="minorHAnsi" w:cstheme="minorHAnsi"/>
          <w:sz w:val="22"/>
          <w:szCs w:val="22"/>
          <w:lang w:val="en-US" w:eastAsia="en-US"/>
        </w:rPr>
        <w:t>’</w:t>
      </w:r>
      <w:r w:rsidR="005F2D83" w:rsidRPr="00DD6227">
        <w:rPr>
          <w:rFonts w:asciiTheme="minorHAnsi" w:eastAsiaTheme="minorEastAsia" w:hAnsiTheme="minorHAnsi" w:cstheme="minorHAnsi"/>
          <w:sz w:val="22"/>
          <w:szCs w:val="22"/>
          <w:lang w:val="en-US" w:eastAsia="en-US"/>
        </w:rPr>
        <w:t xml:space="preserve"> </w:t>
      </w:r>
    </w:p>
    <w:p w14:paraId="4EDAB2FE" w14:textId="6E956C38" w:rsidR="005F2D83" w:rsidRPr="00DD6227" w:rsidRDefault="00FC1807" w:rsidP="005F2D83">
      <w:pPr>
        <w:pStyle w:val="ListParagraph"/>
        <w:numPr>
          <w:ilvl w:val="1"/>
          <w:numId w:val="3"/>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w:t>
      </w:r>
      <w:r w:rsidR="005F2D83" w:rsidRPr="00DD6227">
        <w:rPr>
          <w:rFonts w:asciiTheme="minorHAnsi" w:eastAsiaTheme="minorEastAsia" w:hAnsiTheme="minorHAnsi" w:cstheme="minorHAnsi"/>
          <w:sz w:val="22"/>
          <w:szCs w:val="22"/>
          <w:lang w:val="en-US" w:eastAsia="en-US"/>
        </w:rPr>
        <w:t>benevolent</w:t>
      </w:r>
      <w:r w:rsidRPr="00DD6227">
        <w:rPr>
          <w:rFonts w:asciiTheme="minorHAnsi" w:eastAsiaTheme="minorEastAsia" w:hAnsiTheme="minorHAnsi" w:cstheme="minorHAnsi"/>
          <w:sz w:val="22"/>
          <w:szCs w:val="22"/>
          <w:lang w:val="en-US" w:eastAsia="en-US"/>
        </w:rPr>
        <w:t>’</w:t>
      </w:r>
      <w:r w:rsidR="00795FE9">
        <w:rPr>
          <w:rFonts w:asciiTheme="minorHAnsi" w:eastAsiaTheme="minorEastAsia" w:hAnsiTheme="minorHAnsi" w:cstheme="minorHAnsi"/>
          <w:sz w:val="22"/>
          <w:szCs w:val="22"/>
          <w:lang w:val="en-US" w:eastAsia="en-US"/>
        </w:rPr>
        <w:t>; and</w:t>
      </w:r>
    </w:p>
    <w:p w14:paraId="37118EF1" w14:textId="75658305" w:rsidR="005F2D83" w:rsidRPr="00DD6227" w:rsidRDefault="005F2D83" w:rsidP="005F2D83">
      <w:pPr>
        <w:pStyle w:val="ListParagraph"/>
        <w:numPr>
          <w:ilvl w:val="1"/>
          <w:numId w:val="3"/>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an </w:t>
      </w:r>
      <w:r w:rsidR="009D7CB2" w:rsidRPr="00DD6227">
        <w:rPr>
          <w:rFonts w:asciiTheme="minorHAnsi" w:eastAsiaTheme="minorEastAsia" w:hAnsiTheme="minorHAnsi" w:cstheme="minorHAnsi"/>
          <w:sz w:val="22"/>
          <w:szCs w:val="22"/>
          <w:lang w:val="en-US" w:eastAsia="en-US"/>
        </w:rPr>
        <w:t>‘</w:t>
      </w:r>
      <w:r w:rsidRPr="00DD6227">
        <w:rPr>
          <w:rFonts w:asciiTheme="minorHAnsi" w:eastAsiaTheme="minorEastAsia" w:hAnsiTheme="minorHAnsi" w:cstheme="minorHAnsi"/>
          <w:sz w:val="22"/>
          <w:szCs w:val="22"/>
          <w:lang w:val="en-US" w:eastAsia="en-US"/>
        </w:rPr>
        <w:t>institution</w:t>
      </w:r>
      <w:r w:rsidR="00FC1807" w:rsidRPr="00DD6227">
        <w:rPr>
          <w:rFonts w:asciiTheme="minorHAnsi" w:eastAsiaTheme="minorEastAsia" w:hAnsiTheme="minorHAnsi" w:cstheme="minorHAnsi"/>
          <w:sz w:val="22"/>
          <w:szCs w:val="22"/>
          <w:lang w:val="en-US" w:eastAsia="en-US"/>
        </w:rPr>
        <w:t>’</w:t>
      </w:r>
      <w:r w:rsidR="00795FE9">
        <w:rPr>
          <w:rFonts w:asciiTheme="minorHAnsi" w:eastAsiaTheme="minorEastAsia" w:hAnsiTheme="minorHAnsi" w:cstheme="minorHAnsi"/>
          <w:sz w:val="22"/>
          <w:szCs w:val="22"/>
          <w:lang w:val="en-US" w:eastAsia="en-US"/>
        </w:rPr>
        <w:t>.</w:t>
      </w:r>
    </w:p>
    <w:p w14:paraId="7A3D8925" w14:textId="4A2C5072" w:rsidR="00317F93" w:rsidRDefault="00317F93"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Pr>
          <w:rFonts w:asciiTheme="minorHAnsi" w:eastAsiaTheme="minorEastAsia" w:hAnsiTheme="minorHAnsi" w:cstheme="minorHAnsi"/>
          <w:sz w:val="22"/>
          <w:szCs w:val="22"/>
          <w:lang w:val="en-US" w:eastAsia="en-US"/>
        </w:rPr>
        <w:t>‘Public Benevolent Institution</w:t>
      </w:r>
      <w:r w:rsidR="004A0660">
        <w:rPr>
          <w:rFonts w:asciiTheme="minorHAnsi" w:eastAsiaTheme="minorEastAsia" w:hAnsiTheme="minorHAnsi" w:cstheme="minorHAnsi"/>
          <w:sz w:val="22"/>
          <w:szCs w:val="22"/>
          <w:lang w:val="en-US" w:eastAsia="en-US"/>
        </w:rPr>
        <w:t>’ is a compound phrase.</w:t>
      </w:r>
      <w:r w:rsidR="004A0660">
        <w:rPr>
          <w:rStyle w:val="FootnoteReference"/>
          <w:rFonts w:asciiTheme="minorHAnsi" w:eastAsiaTheme="minorEastAsia" w:hAnsiTheme="minorHAnsi" w:cstheme="minorHAnsi"/>
          <w:sz w:val="22"/>
          <w:szCs w:val="22"/>
          <w:lang w:val="en-US" w:eastAsia="en-US"/>
        </w:rPr>
        <w:footnoteReference w:id="2"/>
      </w:r>
      <w:r w:rsidR="004A0660">
        <w:rPr>
          <w:rFonts w:asciiTheme="minorHAnsi" w:eastAsiaTheme="minorEastAsia" w:hAnsiTheme="minorHAnsi" w:cstheme="minorHAnsi"/>
          <w:sz w:val="22"/>
          <w:szCs w:val="22"/>
          <w:lang w:val="en-US" w:eastAsia="en-US"/>
        </w:rPr>
        <w:t xml:space="preserve"> This means each word is one part of the whole phrase and we must interpret each word in the context of the whole phrase.</w:t>
      </w:r>
      <w:r w:rsidR="007C3D5F">
        <w:rPr>
          <w:rStyle w:val="FootnoteReference"/>
          <w:rFonts w:asciiTheme="minorHAnsi" w:eastAsiaTheme="minorEastAsia" w:hAnsiTheme="minorHAnsi" w:cstheme="minorHAnsi"/>
          <w:sz w:val="22"/>
          <w:szCs w:val="22"/>
          <w:lang w:val="en-US" w:eastAsia="en-US"/>
        </w:rPr>
        <w:footnoteReference w:id="3"/>
      </w:r>
    </w:p>
    <w:p w14:paraId="497E6E47" w14:textId="0BA0C4D9" w:rsidR="006423DA" w:rsidRPr="00DD6227" w:rsidRDefault="00B1118F"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Pr>
          <w:rFonts w:asciiTheme="minorHAnsi" w:eastAsiaTheme="minorEastAsia" w:hAnsiTheme="minorHAnsi" w:cstheme="minorHAnsi"/>
          <w:sz w:val="22"/>
          <w:szCs w:val="22"/>
          <w:lang w:val="en-US" w:eastAsia="en-US"/>
        </w:rPr>
        <w:t>T</w:t>
      </w:r>
      <w:r w:rsidR="00B67076" w:rsidRPr="00DD6227">
        <w:rPr>
          <w:rFonts w:asciiTheme="minorHAnsi" w:eastAsiaTheme="minorEastAsia" w:hAnsiTheme="minorHAnsi" w:cstheme="minorHAnsi"/>
          <w:sz w:val="22"/>
          <w:szCs w:val="22"/>
          <w:lang w:val="en-US" w:eastAsia="en-US"/>
        </w:rPr>
        <w:t>he paragraphs that follow</w:t>
      </w:r>
      <w:r>
        <w:rPr>
          <w:rFonts w:asciiTheme="minorHAnsi" w:eastAsiaTheme="minorEastAsia" w:hAnsiTheme="minorHAnsi" w:cstheme="minorHAnsi"/>
          <w:sz w:val="22"/>
          <w:szCs w:val="22"/>
          <w:lang w:val="en-US" w:eastAsia="en-US"/>
        </w:rPr>
        <w:t xml:space="preserve"> explain </w:t>
      </w:r>
      <w:r w:rsidR="006423DA" w:rsidRPr="00DD6227">
        <w:rPr>
          <w:rFonts w:asciiTheme="minorHAnsi" w:eastAsiaTheme="minorEastAsia" w:hAnsiTheme="minorHAnsi" w:cstheme="minorHAnsi"/>
          <w:sz w:val="22"/>
          <w:szCs w:val="22"/>
          <w:lang w:val="en-US" w:eastAsia="en-US"/>
        </w:rPr>
        <w:t xml:space="preserve">each element of the description of </w:t>
      </w:r>
      <w:r>
        <w:rPr>
          <w:rFonts w:asciiTheme="minorHAnsi" w:eastAsiaTheme="minorEastAsia" w:hAnsiTheme="minorHAnsi" w:cstheme="minorHAnsi"/>
          <w:sz w:val="22"/>
          <w:szCs w:val="22"/>
          <w:lang w:val="en-US" w:eastAsia="en-US"/>
        </w:rPr>
        <w:t>a</w:t>
      </w:r>
      <w:r w:rsidRPr="00DD6227">
        <w:rPr>
          <w:rFonts w:asciiTheme="minorHAnsi" w:eastAsiaTheme="minorEastAsia" w:hAnsiTheme="minorHAnsi" w:cstheme="minorHAnsi"/>
          <w:sz w:val="22"/>
          <w:szCs w:val="22"/>
          <w:lang w:val="en-US" w:eastAsia="en-US"/>
        </w:rPr>
        <w:t xml:space="preserve"> </w:t>
      </w:r>
      <w:r w:rsidR="0033781D" w:rsidRPr="00DD6227">
        <w:rPr>
          <w:rFonts w:asciiTheme="minorHAnsi" w:eastAsiaTheme="minorEastAsia" w:hAnsiTheme="minorHAnsi" w:cstheme="minorHAnsi"/>
          <w:sz w:val="22"/>
          <w:szCs w:val="22"/>
          <w:lang w:val="en-US" w:eastAsia="en-US"/>
        </w:rPr>
        <w:t xml:space="preserve">PBI </w:t>
      </w:r>
      <w:r w:rsidR="006423DA" w:rsidRPr="00DD6227">
        <w:rPr>
          <w:rFonts w:asciiTheme="minorHAnsi" w:eastAsiaTheme="minorEastAsia" w:hAnsiTheme="minorHAnsi" w:cstheme="minorHAnsi"/>
          <w:sz w:val="22"/>
          <w:szCs w:val="22"/>
          <w:lang w:val="en-US" w:eastAsia="en-US"/>
        </w:rPr>
        <w:t>with reference</w:t>
      </w:r>
      <w:r w:rsidR="009D7CB2" w:rsidRPr="00DD6227">
        <w:rPr>
          <w:rFonts w:asciiTheme="minorHAnsi" w:eastAsiaTheme="minorEastAsia" w:hAnsiTheme="minorHAnsi" w:cstheme="minorHAnsi"/>
          <w:sz w:val="22"/>
          <w:szCs w:val="22"/>
          <w:lang w:val="en-US" w:eastAsia="en-US"/>
        </w:rPr>
        <w:t>s</w:t>
      </w:r>
      <w:r w:rsidR="006423DA" w:rsidRPr="00DD6227">
        <w:rPr>
          <w:rFonts w:asciiTheme="minorHAnsi" w:eastAsiaTheme="minorEastAsia" w:hAnsiTheme="minorHAnsi" w:cstheme="minorHAnsi"/>
          <w:sz w:val="22"/>
          <w:szCs w:val="22"/>
          <w:lang w:val="en-US" w:eastAsia="en-US"/>
        </w:rPr>
        <w:t xml:space="preserve"> to the findings of courts and tribunals </w:t>
      </w:r>
      <w:r>
        <w:rPr>
          <w:rFonts w:asciiTheme="minorHAnsi" w:eastAsiaTheme="minorEastAsia" w:hAnsiTheme="minorHAnsi" w:cstheme="minorHAnsi"/>
          <w:sz w:val="22"/>
          <w:szCs w:val="22"/>
          <w:lang w:val="en-US" w:eastAsia="en-US"/>
        </w:rPr>
        <w:t>that</w:t>
      </w:r>
      <w:r w:rsidRPr="00DD6227">
        <w:rPr>
          <w:rFonts w:asciiTheme="minorHAnsi" w:eastAsiaTheme="minorEastAsia" w:hAnsiTheme="minorHAnsi" w:cstheme="minorHAnsi"/>
          <w:sz w:val="22"/>
          <w:szCs w:val="22"/>
          <w:lang w:val="en-US" w:eastAsia="en-US"/>
        </w:rPr>
        <w:t xml:space="preserve"> </w:t>
      </w:r>
      <w:r w:rsidR="006423DA" w:rsidRPr="00DD6227">
        <w:rPr>
          <w:rFonts w:asciiTheme="minorHAnsi" w:eastAsiaTheme="minorEastAsia" w:hAnsiTheme="minorHAnsi" w:cstheme="minorHAnsi"/>
          <w:sz w:val="22"/>
          <w:szCs w:val="22"/>
          <w:lang w:val="en-US" w:eastAsia="en-US"/>
        </w:rPr>
        <w:t xml:space="preserve">have considered the meanings of these terms in </w:t>
      </w:r>
      <w:r w:rsidR="00395703" w:rsidRPr="00DD6227">
        <w:rPr>
          <w:rFonts w:asciiTheme="minorHAnsi" w:eastAsiaTheme="minorEastAsia" w:hAnsiTheme="minorHAnsi" w:cstheme="minorHAnsi"/>
          <w:sz w:val="22"/>
          <w:szCs w:val="22"/>
          <w:lang w:val="en-US" w:eastAsia="en-US"/>
        </w:rPr>
        <w:t>this context</w:t>
      </w:r>
      <w:r w:rsidR="006423DA" w:rsidRPr="00DD6227">
        <w:rPr>
          <w:rFonts w:asciiTheme="minorHAnsi" w:eastAsiaTheme="minorEastAsia" w:hAnsiTheme="minorHAnsi" w:cstheme="minorHAnsi"/>
          <w:sz w:val="22"/>
          <w:szCs w:val="22"/>
          <w:lang w:val="en-US" w:eastAsia="en-US"/>
        </w:rPr>
        <w:t>.</w:t>
      </w:r>
    </w:p>
    <w:p w14:paraId="067DC7EC" w14:textId="00E229C8" w:rsidR="003D6A17" w:rsidRPr="00DD6227" w:rsidRDefault="003D6A17" w:rsidP="003D6A17">
      <w:pPr>
        <w:spacing w:before="120" w:after="120" w:line="276" w:lineRule="auto"/>
        <w:ind w:left="360" w:firstLine="349"/>
        <w:textAlignment w:val="baseline"/>
        <w:rPr>
          <w:rFonts w:asciiTheme="minorHAnsi" w:eastAsiaTheme="minorEastAsia" w:hAnsiTheme="minorHAnsi" w:cstheme="minorHAnsi"/>
          <w:color w:val="1F3763"/>
          <w:szCs w:val="24"/>
          <w:lang w:val="en-US" w:eastAsia="en-US"/>
        </w:rPr>
      </w:pPr>
      <w:r w:rsidRPr="00DD6227">
        <w:rPr>
          <w:rFonts w:asciiTheme="minorHAnsi" w:eastAsiaTheme="minorEastAsia" w:hAnsiTheme="minorHAnsi" w:cstheme="minorHAnsi"/>
          <w:color w:val="1F3763"/>
          <w:szCs w:val="24"/>
          <w:lang w:val="en-US" w:eastAsia="en-US"/>
        </w:rPr>
        <w:t>Benevolen</w:t>
      </w:r>
      <w:r w:rsidR="00C31A5C" w:rsidRPr="00DD6227">
        <w:rPr>
          <w:rFonts w:asciiTheme="minorHAnsi" w:eastAsiaTheme="minorEastAsia" w:hAnsiTheme="minorHAnsi" w:cstheme="minorHAnsi"/>
          <w:color w:val="1F3763"/>
          <w:szCs w:val="24"/>
          <w:lang w:val="en-US" w:eastAsia="en-US"/>
        </w:rPr>
        <w:t>t</w:t>
      </w:r>
    </w:p>
    <w:p w14:paraId="08EBA8CE" w14:textId="33E25AE4" w:rsidR="0022426A" w:rsidRPr="00DD6227" w:rsidRDefault="00356B6A"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The meaning of ‘benevolent’ in the PBI context is more restricted than its ordinary meaning</w:t>
      </w:r>
      <w:r w:rsidR="00D915A2">
        <w:rPr>
          <w:rFonts w:asciiTheme="minorHAnsi" w:eastAsiaTheme="minorEastAsia" w:hAnsiTheme="minorHAnsi" w:cstheme="minorHAnsi"/>
          <w:sz w:val="22"/>
          <w:szCs w:val="22"/>
          <w:lang w:val="en-US" w:eastAsia="en-US"/>
        </w:rPr>
        <w:t>.</w:t>
      </w:r>
      <w:r w:rsidR="003B6132" w:rsidRPr="00DD6227">
        <w:rPr>
          <w:rStyle w:val="FootnoteReference"/>
          <w:rFonts w:asciiTheme="minorHAnsi" w:eastAsiaTheme="minorEastAsia" w:hAnsiTheme="minorHAnsi" w:cstheme="minorHAnsi"/>
          <w:sz w:val="22"/>
          <w:szCs w:val="22"/>
          <w:lang w:val="en-US" w:eastAsia="en-US"/>
        </w:rPr>
        <w:footnoteReference w:id="4"/>
      </w:r>
      <w:r w:rsidR="00BC0383" w:rsidRPr="00DD6227">
        <w:rPr>
          <w:rFonts w:asciiTheme="minorHAnsi" w:eastAsiaTheme="minorEastAsia" w:hAnsiTheme="minorHAnsi" w:cstheme="minorHAnsi"/>
          <w:sz w:val="22"/>
          <w:szCs w:val="22"/>
          <w:lang w:val="en-US" w:eastAsia="en-US"/>
        </w:rPr>
        <w:t xml:space="preserve"> </w:t>
      </w:r>
    </w:p>
    <w:p w14:paraId="11D3E11C" w14:textId="09293CDB" w:rsidR="00B13B7D" w:rsidRPr="00DD6227" w:rsidRDefault="00D11369"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u w:val="single"/>
          <w:lang w:val="en-US" w:eastAsia="en-US"/>
        </w:rPr>
      </w:pPr>
      <w:r w:rsidRPr="00DD6227">
        <w:rPr>
          <w:rFonts w:asciiTheme="minorHAnsi" w:eastAsiaTheme="minorEastAsia" w:hAnsiTheme="minorHAnsi" w:cstheme="minorHAnsi"/>
          <w:sz w:val="22"/>
          <w:szCs w:val="22"/>
          <w:lang w:val="en-US" w:eastAsia="en-US"/>
        </w:rPr>
        <w:t xml:space="preserve">To be ‘benevolent’ in the </w:t>
      </w:r>
      <w:r w:rsidR="00BD702C" w:rsidRPr="00DD6227">
        <w:rPr>
          <w:rFonts w:asciiTheme="minorHAnsi" w:eastAsiaTheme="minorEastAsia" w:hAnsiTheme="minorHAnsi" w:cstheme="minorHAnsi"/>
          <w:sz w:val="22"/>
          <w:szCs w:val="22"/>
          <w:lang w:val="en-US" w:eastAsia="en-US"/>
        </w:rPr>
        <w:t>PBI context</w:t>
      </w:r>
      <w:r w:rsidRPr="00DD6227">
        <w:rPr>
          <w:rFonts w:asciiTheme="minorHAnsi" w:eastAsiaTheme="minorEastAsia" w:hAnsiTheme="minorHAnsi" w:cstheme="minorHAnsi"/>
          <w:sz w:val="22"/>
          <w:szCs w:val="22"/>
          <w:lang w:val="en-US" w:eastAsia="en-US"/>
        </w:rPr>
        <w:t xml:space="preserve">, a </w:t>
      </w:r>
      <w:r w:rsidR="00F33414" w:rsidRPr="00DD6227">
        <w:rPr>
          <w:rFonts w:asciiTheme="minorHAnsi" w:eastAsiaTheme="minorEastAsia" w:hAnsiTheme="minorHAnsi" w:cstheme="minorHAnsi"/>
          <w:sz w:val="22"/>
          <w:szCs w:val="22"/>
          <w:lang w:val="en-US" w:eastAsia="en-US"/>
        </w:rPr>
        <w:t>char</w:t>
      </w:r>
      <w:r w:rsidRPr="00DD6227">
        <w:rPr>
          <w:rFonts w:asciiTheme="minorHAnsi" w:eastAsiaTheme="minorEastAsia" w:hAnsiTheme="minorHAnsi" w:cstheme="minorHAnsi"/>
          <w:sz w:val="22"/>
          <w:szCs w:val="22"/>
          <w:lang w:val="en-US" w:eastAsia="en-US"/>
        </w:rPr>
        <w:t xml:space="preserve">ity must </w:t>
      </w:r>
      <w:r w:rsidR="00D20A27" w:rsidRPr="00DD6227">
        <w:rPr>
          <w:rFonts w:asciiTheme="minorHAnsi" w:eastAsiaTheme="minorEastAsia" w:hAnsiTheme="minorHAnsi" w:cstheme="minorHAnsi"/>
          <w:sz w:val="22"/>
          <w:szCs w:val="22"/>
          <w:lang w:val="en-US" w:eastAsia="en-US"/>
        </w:rPr>
        <w:t xml:space="preserve">have a main purpose of </w:t>
      </w:r>
      <w:r w:rsidR="00F33B10" w:rsidRPr="00DD6227">
        <w:rPr>
          <w:rFonts w:asciiTheme="minorHAnsi" w:eastAsiaTheme="minorEastAsia" w:hAnsiTheme="minorHAnsi" w:cstheme="minorHAnsi"/>
          <w:sz w:val="22"/>
          <w:szCs w:val="22"/>
          <w:lang w:val="en-US" w:eastAsia="en-US"/>
        </w:rPr>
        <w:t>provid</w:t>
      </w:r>
      <w:r w:rsidR="00D20A27" w:rsidRPr="00DD6227">
        <w:rPr>
          <w:rFonts w:asciiTheme="minorHAnsi" w:eastAsiaTheme="minorEastAsia" w:hAnsiTheme="minorHAnsi" w:cstheme="minorHAnsi"/>
          <w:sz w:val="22"/>
          <w:szCs w:val="22"/>
          <w:lang w:val="en-US" w:eastAsia="en-US"/>
        </w:rPr>
        <w:t>ing</w:t>
      </w:r>
      <w:r w:rsidR="00F33B10" w:rsidRPr="00DD6227">
        <w:rPr>
          <w:rFonts w:asciiTheme="minorHAnsi" w:eastAsiaTheme="minorEastAsia" w:hAnsiTheme="minorHAnsi" w:cstheme="minorHAnsi"/>
          <w:sz w:val="22"/>
          <w:szCs w:val="22"/>
          <w:lang w:val="en-US" w:eastAsia="en-US"/>
        </w:rPr>
        <w:t xml:space="preserve"> relief to people who have </w:t>
      </w:r>
      <w:r w:rsidR="00103220">
        <w:rPr>
          <w:rFonts w:asciiTheme="minorHAnsi" w:eastAsiaTheme="minorEastAsia" w:hAnsiTheme="minorHAnsi" w:cstheme="minorHAnsi"/>
          <w:sz w:val="22"/>
          <w:szCs w:val="22"/>
          <w:lang w:val="en-US" w:eastAsia="en-US"/>
        </w:rPr>
        <w:t>condition</w:t>
      </w:r>
      <w:r w:rsidR="00103220" w:rsidRPr="00DD6227">
        <w:rPr>
          <w:rFonts w:asciiTheme="minorHAnsi" w:eastAsiaTheme="minorEastAsia" w:hAnsiTheme="minorHAnsi" w:cstheme="minorHAnsi"/>
          <w:sz w:val="22"/>
          <w:szCs w:val="22"/>
          <w:lang w:val="en-US" w:eastAsia="en-US"/>
        </w:rPr>
        <w:t xml:space="preserve">s </w:t>
      </w:r>
      <w:r w:rsidR="004A11FE" w:rsidRPr="00DD6227">
        <w:rPr>
          <w:rFonts w:asciiTheme="minorHAnsi" w:eastAsiaTheme="minorEastAsia" w:hAnsiTheme="minorHAnsi" w:cstheme="minorHAnsi"/>
          <w:sz w:val="22"/>
          <w:szCs w:val="22"/>
          <w:lang w:val="en-US" w:eastAsia="en-US"/>
        </w:rPr>
        <w:t>which arouse ‘compassion within the community</w:t>
      </w:r>
      <w:r w:rsidR="001706A0" w:rsidRPr="00DD6227">
        <w:rPr>
          <w:rFonts w:asciiTheme="minorHAnsi" w:eastAsiaTheme="minorEastAsia" w:hAnsiTheme="minorHAnsi" w:cstheme="minorHAnsi"/>
          <w:sz w:val="22"/>
          <w:szCs w:val="22"/>
          <w:lang w:val="en-US" w:eastAsia="en-US"/>
        </w:rPr>
        <w:t>’</w:t>
      </w:r>
      <w:r w:rsidR="004A11FE" w:rsidRPr="00DD6227">
        <w:rPr>
          <w:rFonts w:asciiTheme="minorHAnsi" w:eastAsiaTheme="minorEastAsia" w:hAnsiTheme="minorHAnsi" w:cstheme="minorHAnsi"/>
          <w:sz w:val="22"/>
          <w:szCs w:val="22"/>
          <w:lang w:val="en-US" w:eastAsia="en-US"/>
        </w:rPr>
        <w:t>.</w:t>
      </w:r>
      <w:r w:rsidR="00D20A27" w:rsidRPr="00DD6227">
        <w:rPr>
          <w:rStyle w:val="FootnoteReference"/>
          <w:rFonts w:asciiTheme="minorHAnsi" w:eastAsiaTheme="minorEastAsia" w:hAnsiTheme="minorHAnsi" w:cstheme="minorHAnsi"/>
          <w:sz w:val="22"/>
          <w:szCs w:val="22"/>
          <w:lang w:val="en-US" w:eastAsia="en-US"/>
        </w:rPr>
        <w:footnoteReference w:id="5"/>
      </w:r>
      <w:r w:rsidR="004A11FE" w:rsidRPr="00DD6227">
        <w:rPr>
          <w:rFonts w:asciiTheme="minorHAnsi" w:eastAsiaTheme="minorEastAsia" w:hAnsiTheme="minorHAnsi" w:cstheme="minorHAnsi"/>
          <w:sz w:val="22"/>
          <w:szCs w:val="22"/>
          <w:lang w:val="en-US" w:eastAsia="en-US"/>
        </w:rPr>
        <w:t xml:space="preserve"> </w:t>
      </w:r>
      <w:r w:rsidR="00F61773" w:rsidRPr="00DD6227">
        <w:rPr>
          <w:rFonts w:asciiTheme="minorHAnsi" w:eastAsiaTheme="minorEastAsia" w:hAnsiTheme="minorHAnsi" w:cstheme="minorHAnsi"/>
          <w:sz w:val="22"/>
          <w:szCs w:val="22"/>
          <w:lang w:val="en-US" w:eastAsia="en-US"/>
        </w:rPr>
        <w:t xml:space="preserve">These </w:t>
      </w:r>
      <w:r w:rsidR="00103220">
        <w:rPr>
          <w:rFonts w:asciiTheme="minorHAnsi" w:eastAsiaTheme="minorEastAsia" w:hAnsiTheme="minorHAnsi" w:cstheme="minorHAnsi"/>
          <w:sz w:val="22"/>
          <w:szCs w:val="22"/>
          <w:lang w:val="en-US" w:eastAsia="en-US"/>
        </w:rPr>
        <w:t>condition</w:t>
      </w:r>
      <w:r w:rsidR="00103220" w:rsidRPr="00DD6227">
        <w:rPr>
          <w:rFonts w:asciiTheme="minorHAnsi" w:eastAsiaTheme="minorEastAsia" w:hAnsiTheme="minorHAnsi" w:cstheme="minorHAnsi"/>
          <w:sz w:val="22"/>
          <w:szCs w:val="22"/>
          <w:lang w:val="en-US" w:eastAsia="en-US"/>
        </w:rPr>
        <w:t xml:space="preserve">s </w:t>
      </w:r>
      <w:r w:rsidR="00F61773" w:rsidRPr="00DD6227">
        <w:rPr>
          <w:rFonts w:asciiTheme="minorHAnsi" w:eastAsiaTheme="minorEastAsia" w:hAnsiTheme="minorHAnsi" w:cstheme="minorHAnsi"/>
          <w:sz w:val="22"/>
          <w:szCs w:val="22"/>
          <w:lang w:val="en-US" w:eastAsia="en-US"/>
        </w:rPr>
        <w:t>include</w:t>
      </w:r>
      <w:r w:rsidR="006A3FB6" w:rsidRPr="00DD6227">
        <w:rPr>
          <w:rFonts w:asciiTheme="minorHAnsi" w:eastAsiaTheme="minorEastAsia" w:hAnsiTheme="minorHAnsi" w:cstheme="minorHAnsi"/>
          <w:sz w:val="22"/>
          <w:szCs w:val="22"/>
          <w:lang w:val="en-US" w:eastAsia="en-US"/>
        </w:rPr>
        <w:t>, but are not restricted to,</w:t>
      </w:r>
      <w:r w:rsidR="00F61773" w:rsidRPr="00DD6227">
        <w:rPr>
          <w:rFonts w:asciiTheme="minorHAnsi" w:eastAsiaTheme="minorEastAsia" w:hAnsiTheme="minorHAnsi" w:cstheme="minorHAnsi"/>
          <w:sz w:val="22"/>
          <w:szCs w:val="22"/>
          <w:lang w:val="en-US" w:eastAsia="en-US"/>
        </w:rPr>
        <w:t xml:space="preserve"> poverty</w:t>
      </w:r>
      <w:r w:rsidR="006A3FB6" w:rsidRPr="00DD6227">
        <w:rPr>
          <w:rFonts w:asciiTheme="minorHAnsi" w:eastAsiaTheme="minorEastAsia" w:hAnsiTheme="minorHAnsi" w:cstheme="minorHAnsi"/>
          <w:sz w:val="22"/>
          <w:szCs w:val="22"/>
          <w:lang w:val="en-US" w:eastAsia="en-US"/>
        </w:rPr>
        <w:t>, sickness,</w:t>
      </w:r>
      <w:r w:rsidR="00C05783" w:rsidRPr="00DD6227">
        <w:rPr>
          <w:rFonts w:asciiTheme="minorHAnsi" w:eastAsiaTheme="minorEastAsia" w:hAnsiTheme="minorHAnsi" w:cstheme="minorHAnsi"/>
          <w:sz w:val="22"/>
          <w:szCs w:val="22"/>
          <w:lang w:val="en-US" w:eastAsia="en-US"/>
        </w:rPr>
        <w:t xml:space="preserve"> disability,</w:t>
      </w:r>
      <w:r w:rsidR="006A3FB6" w:rsidRPr="00DD6227">
        <w:rPr>
          <w:rFonts w:asciiTheme="minorHAnsi" w:eastAsiaTheme="minorEastAsia" w:hAnsiTheme="minorHAnsi" w:cstheme="minorHAnsi"/>
          <w:sz w:val="22"/>
          <w:szCs w:val="22"/>
          <w:lang w:val="en-US" w:eastAsia="en-US"/>
        </w:rPr>
        <w:t xml:space="preserve"> </w:t>
      </w:r>
      <w:proofErr w:type="gramStart"/>
      <w:r w:rsidR="006A3FB6" w:rsidRPr="00DD6227">
        <w:rPr>
          <w:rFonts w:asciiTheme="minorHAnsi" w:eastAsiaTheme="minorEastAsia" w:hAnsiTheme="minorHAnsi" w:cstheme="minorHAnsi"/>
          <w:sz w:val="22"/>
          <w:szCs w:val="22"/>
          <w:lang w:val="en-US" w:eastAsia="en-US"/>
        </w:rPr>
        <w:t>misfortune</w:t>
      </w:r>
      <w:proofErr w:type="gramEnd"/>
      <w:r w:rsidR="006A3FB6" w:rsidRPr="00DD6227">
        <w:rPr>
          <w:rFonts w:asciiTheme="minorHAnsi" w:eastAsiaTheme="minorEastAsia" w:hAnsiTheme="minorHAnsi" w:cstheme="minorHAnsi"/>
          <w:sz w:val="22"/>
          <w:szCs w:val="22"/>
          <w:lang w:val="en-US" w:eastAsia="en-US"/>
        </w:rPr>
        <w:t xml:space="preserve"> and helplessness.</w:t>
      </w:r>
      <w:r w:rsidR="0030448C" w:rsidRPr="00DD6227">
        <w:rPr>
          <w:rStyle w:val="FootnoteReference"/>
          <w:rFonts w:asciiTheme="minorHAnsi" w:eastAsiaTheme="minorEastAsia" w:hAnsiTheme="minorHAnsi" w:cstheme="minorHAnsi"/>
          <w:sz w:val="22"/>
          <w:szCs w:val="22"/>
          <w:lang w:val="en-US" w:eastAsia="en-US"/>
        </w:rPr>
        <w:footnoteReference w:id="6"/>
      </w:r>
    </w:p>
    <w:p w14:paraId="0E0CF2C6" w14:textId="580C8958" w:rsidR="00EC09E6" w:rsidRPr="00DD6227" w:rsidRDefault="000C38BA" w:rsidP="00EC09E6">
      <w:pPr>
        <w:pStyle w:val="ListParagraph"/>
        <w:spacing w:before="120" w:after="120" w:line="276" w:lineRule="auto"/>
        <w:ind w:left="930"/>
        <w:textAlignment w:val="baseline"/>
        <w:rPr>
          <w:rFonts w:asciiTheme="minorHAnsi" w:eastAsiaTheme="minorEastAsia" w:hAnsiTheme="minorHAnsi" w:cstheme="minorHAnsi"/>
          <w:sz w:val="22"/>
          <w:szCs w:val="22"/>
          <w:u w:val="single"/>
          <w:lang w:val="en-US" w:eastAsia="en-US"/>
        </w:rPr>
      </w:pPr>
      <w:r w:rsidRPr="00DD6227">
        <w:rPr>
          <w:rFonts w:asciiTheme="minorHAnsi" w:eastAsiaTheme="minorEastAsia" w:hAnsiTheme="minorHAnsi" w:cstheme="minorHAnsi"/>
          <w:sz w:val="22"/>
          <w:szCs w:val="22"/>
          <w:u w:val="single"/>
          <w:lang w:val="en-US" w:eastAsia="en-US"/>
        </w:rPr>
        <w:t>B</w:t>
      </w:r>
      <w:r w:rsidR="001706A0" w:rsidRPr="00DD6227">
        <w:rPr>
          <w:rFonts w:asciiTheme="minorHAnsi" w:eastAsiaTheme="minorEastAsia" w:hAnsiTheme="minorHAnsi" w:cstheme="minorHAnsi"/>
          <w:sz w:val="22"/>
          <w:szCs w:val="22"/>
          <w:u w:val="single"/>
          <w:lang w:val="en-US" w:eastAsia="en-US"/>
        </w:rPr>
        <w:t>enevolent relief of poverty</w:t>
      </w:r>
    </w:p>
    <w:p w14:paraId="5F95DE4F" w14:textId="7EE826A4" w:rsidR="00400936" w:rsidRPr="00DD6227" w:rsidRDefault="00400936"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A charity </w:t>
      </w:r>
      <w:r w:rsidR="00AE3617">
        <w:rPr>
          <w:rFonts w:asciiTheme="minorHAnsi" w:eastAsiaTheme="minorEastAsia" w:hAnsiTheme="minorHAnsi" w:cstheme="minorHAnsi"/>
          <w:sz w:val="22"/>
          <w:szCs w:val="22"/>
          <w:lang w:val="en-US" w:eastAsia="en-US"/>
        </w:rPr>
        <w:t>is</w:t>
      </w:r>
      <w:r w:rsidRPr="00DD6227">
        <w:rPr>
          <w:rFonts w:asciiTheme="minorHAnsi" w:eastAsiaTheme="minorEastAsia" w:hAnsiTheme="minorHAnsi" w:cstheme="minorHAnsi"/>
          <w:sz w:val="22"/>
          <w:szCs w:val="22"/>
          <w:lang w:val="en-US" w:eastAsia="en-US"/>
        </w:rPr>
        <w:t xml:space="preserve"> ‘benevolent’</w:t>
      </w:r>
      <w:r w:rsidR="00AE3617">
        <w:rPr>
          <w:rFonts w:asciiTheme="minorHAnsi" w:eastAsiaTheme="minorEastAsia" w:hAnsiTheme="minorHAnsi" w:cstheme="minorHAnsi"/>
          <w:sz w:val="22"/>
          <w:szCs w:val="22"/>
          <w:lang w:val="en-US" w:eastAsia="en-US"/>
        </w:rPr>
        <w:t>,</w:t>
      </w:r>
      <w:r w:rsidRPr="00DD6227">
        <w:rPr>
          <w:rFonts w:asciiTheme="minorHAnsi" w:eastAsiaTheme="minorEastAsia" w:hAnsiTheme="minorHAnsi" w:cstheme="minorHAnsi"/>
          <w:sz w:val="22"/>
          <w:szCs w:val="22"/>
          <w:lang w:val="en-US" w:eastAsia="en-US"/>
        </w:rPr>
        <w:t xml:space="preserve"> in the required sense</w:t>
      </w:r>
      <w:r w:rsidR="00AE3617">
        <w:rPr>
          <w:rFonts w:asciiTheme="minorHAnsi" w:eastAsiaTheme="minorEastAsia" w:hAnsiTheme="minorHAnsi" w:cstheme="minorHAnsi"/>
          <w:sz w:val="22"/>
          <w:szCs w:val="22"/>
          <w:lang w:val="en-US" w:eastAsia="en-US"/>
        </w:rPr>
        <w:t>,</w:t>
      </w:r>
      <w:r w:rsidRPr="00DD6227">
        <w:rPr>
          <w:rFonts w:asciiTheme="minorHAnsi" w:eastAsiaTheme="minorEastAsia" w:hAnsiTheme="minorHAnsi" w:cstheme="minorHAnsi"/>
          <w:sz w:val="22"/>
          <w:szCs w:val="22"/>
          <w:lang w:val="en-US" w:eastAsia="en-US"/>
        </w:rPr>
        <w:t xml:space="preserve"> if it has a</w:t>
      </w:r>
      <w:r w:rsidR="005E65E9" w:rsidRPr="00DD6227">
        <w:rPr>
          <w:rFonts w:asciiTheme="minorHAnsi" w:eastAsiaTheme="minorEastAsia" w:hAnsiTheme="minorHAnsi" w:cstheme="minorHAnsi"/>
          <w:sz w:val="22"/>
          <w:szCs w:val="22"/>
          <w:lang w:val="en-US" w:eastAsia="en-US"/>
        </w:rPr>
        <w:t xml:space="preserve"> main</w:t>
      </w:r>
      <w:r w:rsidRPr="00DD6227">
        <w:rPr>
          <w:rFonts w:asciiTheme="minorHAnsi" w:eastAsiaTheme="minorEastAsia" w:hAnsiTheme="minorHAnsi" w:cstheme="minorHAnsi"/>
          <w:sz w:val="22"/>
          <w:szCs w:val="22"/>
          <w:lang w:val="en-US" w:eastAsia="en-US"/>
        </w:rPr>
        <w:t xml:space="preserve"> purpose of </w:t>
      </w:r>
      <w:r w:rsidR="009F1B17">
        <w:rPr>
          <w:rFonts w:asciiTheme="minorHAnsi" w:eastAsiaTheme="minorEastAsia" w:hAnsiTheme="minorHAnsi" w:cstheme="minorHAnsi"/>
          <w:sz w:val="22"/>
          <w:szCs w:val="22"/>
          <w:lang w:val="en-US" w:eastAsia="en-US"/>
        </w:rPr>
        <w:t>providing relief from poverty</w:t>
      </w:r>
      <w:r w:rsidRPr="00DD6227">
        <w:rPr>
          <w:rFonts w:asciiTheme="minorHAnsi" w:eastAsiaTheme="minorEastAsia" w:hAnsiTheme="minorHAnsi" w:cstheme="minorHAnsi"/>
          <w:sz w:val="22"/>
          <w:szCs w:val="22"/>
          <w:lang w:val="en-US" w:eastAsia="en-US"/>
        </w:rPr>
        <w:t>.</w:t>
      </w:r>
    </w:p>
    <w:p w14:paraId="056CA303" w14:textId="24E2B1FE" w:rsidR="0032297B" w:rsidRPr="00DD6227" w:rsidRDefault="00191B30"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lastRenderedPageBreak/>
        <w:t xml:space="preserve">A person </w:t>
      </w:r>
      <w:r w:rsidR="00400936" w:rsidRPr="00DD6227">
        <w:rPr>
          <w:rFonts w:asciiTheme="minorHAnsi" w:eastAsiaTheme="minorEastAsia" w:hAnsiTheme="minorHAnsi" w:cstheme="minorHAnsi"/>
          <w:sz w:val="22"/>
          <w:szCs w:val="22"/>
          <w:lang w:val="en-US" w:eastAsia="en-US"/>
        </w:rPr>
        <w:t>is</w:t>
      </w:r>
      <w:r w:rsidRPr="00DD6227">
        <w:rPr>
          <w:rFonts w:asciiTheme="minorHAnsi" w:eastAsiaTheme="minorEastAsia" w:hAnsiTheme="minorHAnsi" w:cstheme="minorHAnsi"/>
          <w:sz w:val="22"/>
          <w:szCs w:val="22"/>
          <w:lang w:val="en-US" w:eastAsia="en-US"/>
        </w:rPr>
        <w:t xml:space="preserve"> in poverty if they cannot</w:t>
      </w:r>
      <w:r w:rsidR="00660CBE" w:rsidRPr="00DD6227">
        <w:rPr>
          <w:rFonts w:asciiTheme="minorHAnsi" w:eastAsiaTheme="minorEastAsia" w:hAnsiTheme="minorHAnsi" w:cstheme="minorHAnsi"/>
          <w:sz w:val="22"/>
          <w:szCs w:val="22"/>
          <w:lang w:val="en-US" w:eastAsia="en-US"/>
        </w:rPr>
        <w:t xml:space="preserve"> afford to</w:t>
      </w:r>
      <w:r w:rsidRPr="00DD6227">
        <w:rPr>
          <w:rFonts w:asciiTheme="minorHAnsi" w:eastAsiaTheme="minorEastAsia" w:hAnsiTheme="minorHAnsi" w:cstheme="minorHAnsi"/>
          <w:sz w:val="22"/>
          <w:szCs w:val="22"/>
          <w:lang w:val="en-US" w:eastAsia="en-US"/>
        </w:rPr>
        <w:t xml:space="preserve"> obtain all that they need for a modest standard of living</w:t>
      </w:r>
      <w:r w:rsidR="00047C47">
        <w:rPr>
          <w:rFonts w:asciiTheme="minorHAnsi" w:eastAsiaTheme="minorEastAsia" w:hAnsiTheme="minorHAnsi" w:cstheme="minorHAnsi"/>
          <w:sz w:val="22"/>
          <w:szCs w:val="22"/>
          <w:lang w:val="en-US" w:eastAsia="en-US"/>
        </w:rPr>
        <w:t>.</w:t>
      </w:r>
      <w:r w:rsidR="00226C08" w:rsidRPr="00DD6227">
        <w:rPr>
          <w:rStyle w:val="FootnoteReference"/>
          <w:rFonts w:asciiTheme="minorHAnsi" w:eastAsiaTheme="minorEastAsia" w:hAnsiTheme="minorHAnsi" w:cstheme="minorHAnsi"/>
          <w:sz w:val="22"/>
          <w:szCs w:val="22"/>
          <w:lang w:val="en-US" w:eastAsia="en-US"/>
        </w:rPr>
        <w:footnoteReference w:id="7"/>
      </w:r>
      <w:r w:rsidR="00AA31A0" w:rsidRPr="00DD6227">
        <w:rPr>
          <w:rFonts w:asciiTheme="minorHAnsi" w:eastAsiaTheme="minorEastAsia" w:hAnsiTheme="minorHAnsi" w:cstheme="minorHAnsi"/>
          <w:sz w:val="22"/>
          <w:szCs w:val="22"/>
          <w:lang w:val="en-US" w:eastAsia="en-US"/>
        </w:rPr>
        <w:t xml:space="preserve"> </w:t>
      </w:r>
    </w:p>
    <w:p w14:paraId="616838DD" w14:textId="562E1E68" w:rsidR="0032297B" w:rsidRPr="00DD6227" w:rsidRDefault="00AA31A0"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A person does not need to be destitute to be in poverty</w:t>
      </w:r>
      <w:r w:rsidR="00E25D0D" w:rsidRPr="00DD6227">
        <w:rPr>
          <w:rFonts w:asciiTheme="minorHAnsi" w:eastAsiaTheme="minorEastAsia" w:hAnsiTheme="minorHAnsi" w:cstheme="minorHAnsi"/>
          <w:sz w:val="22"/>
          <w:szCs w:val="22"/>
          <w:lang w:val="en-US" w:eastAsia="en-US"/>
        </w:rPr>
        <w:t>.</w:t>
      </w:r>
      <w:r w:rsidR="00105E46" w:rsidRPr="00DD6227">
        <w:rPr>
          <w:rStyle w:val="FootnoteReference"/>
          <w:rFonts w:asciiTheme="minorHAnsi" w:eastAsiaTheme="minorEastAsia" w:hAnsiTheme="minorHAnsi" w:cstheme="minorHAnsi"/>
          <w:sz w:val="22"/>
          <w:szCs w:val="22"/>
          <w:lang w:val="en-US" w:eastAsia="en-US"/>
        </w:rPr>
        <w:footnoteReference w:id="8"/>
      </w:r>
      <w:r w:rsidR="00393A60" w:rsidRPr="00DD6227">
        <w:rPr>
          <w:rFonts w:asciiTheme="minorHAnsi" w:eastAsiaTheme="minorEastAsia" w:hAnsiTheme="minorHAnsi" w:cstheme="minorHAnsi"/>
          <w:sz w:val="22"/>
          <w:szCs w:val="22"/>
          <w:lang w:val="en-US" w:eastAsia="en-US"/>
        </w:rPr>
        <w:t xml:space="preserve"> </w:t>
      </w:r>
      <w:r w:rsidR="00E25D0D" w:rsidRPr="00DD6227">
        <w:rPr>
          <w:rFonts w:asciiTheme="minorHAnsi" w:eastAsiaTheme="minorEastAsia" w:hAnsiTheme="minorHAnsi" w:cstheme="minorHAnsi"/>
          <w:sz w:val="22"/>
          <w:szCs w:val="22"/>
          <w:lang w:val="en-US" w:eastAsia="en-US"/>
        </w:rPr>
        <w:t>B</w:t>
      </w:r>
      <w:r w:rsidR="00393A60" w:rsidRPr="00DD6227">
        <w:rPr>
          <w:rFonts w:asciiTheme="minorHAnsi" w:eastAsiaTheme="minorEastAsia" w:hAnsiTheme="minorHAnsi" w:cstheme="minorHAnsi"/>
          <w:sz w:val="22"/>
          <w:szCs w:val="22"/>
          <w:lang w:val="en-US" w:eastAsia="en-US"/>
        </w:rPr>
        <w:t>ut</w:t>
      </w:r>
      <w:r w:rsidR="00E25D0D" w:rsidRPr="00DD6227">
        <w:rPr>
          <w:rFonts w:asciiTheme="minorHAnsi" w:eastAsiaTheme="minorEastAsia" w:hAnsiTheme="minorHAnsi" w:cstheme="minorHAnsi"/>
          <w:sz w:val="22"/>
          <w:szCs w:val="22"/>
          <w:lang w:val="en-US" w:eastAsia="en-US"/>
        </w:rPr>
        <w:t xml:space="preserve"> a person</w:t>
      </w:r>
      <w:r w:rsidR="00393A60" w:rsidRPr="00DD6227">
        <w:rPr>
          <w:rFonts w:asciiTheme="minorHAnsi" w:eastAsiaTheme="minorEastAsia" w:hAnsiTheme="minorHAnsi" w:cstheme="minorHAnsi"/>
          <w:sz w:val="22"/>
          <w:szCs w:val="22"/>
          <w:lang w:val="en-US" w:eastAsia="en-US"/>
        </w:rPr>
        <w:t xml:space="preserve"> </w:t>
      </w:r>
      <w:r w:rsidR="00834D89">
        <w:rPr>
          <w:rFonts w:asciiTheme="minorHAnsi" w:eastAsiaTheme="minorEastAsia" w:hAnsiTheme="minorHAnsi" w:cstheme="minorHAnsi"/>
          <w:sz w:val="22"/>
          <w:szCs w:val="22"/>
          <w:lang w:val="en-US" w:eastAsia="en-US"/>
        </w:rPr>
        <w:t>is</w:t>
      </w:r>
      <w:r w:rsidR="00834D89" w:rsidRPr="00DD6227">
        <w:rPr>
          <w:rFonts w:asciiTheme="minorHAnsi" w:eastAsiaTheme="minorEastAsia" w:hAnsiTheme="minorHAnsi" w:cstheme="minorHAnsi"/>
          <w:sz w:val="22"/>
          <w:szCs w:val="22"/>
          <w:lang w:val="en-US" w:eastAsia="en-US"/>
        </w:rPr>
        <w:t xml:space="preserve"> </w:t>
      </w:r>
      <w:r w:rsidR="00393A60" w:rsidRPr="00DD6227">
        <w:rPr>
          <w:rFonts w:asciiTheme="minorHAnsi" w:eastAsiaTheme="minorEastAsia" w:hAnsiTheme="minorHAnsi" w:cstheme="minorHAnsi"/>
          <w:sz w:val="22"/>
          <w:szCs w:val="22"/>
          <w:lang w:val="en-US" w:eastAsia="en-US"/>
        </w:rPr>
        <w:t xml:space="preserve">not in poverty </w:t>
      </w:r>
      <w:r w:rsidR="00074858" w:rsidRPr="00DD6227">
        <w:rPr>
          <w:rFonts w:asciiTheme="minorHAnsi" w:eastAsiaTheme="minorEastAsia" w:hAnsiTheme="minorHAnsi" w:cstheme="minorHAnsi"/>
          <w:sz w:val="22"/>
          <w:szCs w:val="22"/>
          <w:lang w:val="en-US" w:eastAsia="en-US"/>
        </w:rPr>
        <w:t xml:space="preserve">simply </w:t>
      </w:r>
      <w:r w:rsidR="00393A60" w:rsidRPr="00DD6227">
        <w:rPr>
          <w:rFonts w:asciiTheme="minorHAnsi" w:eastAsiaTheme="minorEastAsia" w:hAnsiTheme="minorHAnsi" w:cstheme="minorHAnsi"/>
          <w:sz w:val="22"/>
          <w:szCs w:val="22"/>
          <w:lang w:val="en-US" w:eastAsia="en-US"/>
        </w:rPr>
        <w:t xml:space="preserve">because </w:t>
      </w:r>
      <w:r w:rsidR="006E16CD" w:rsidRPr="00DD6227">
        <w:rPr>
          <w:rFonts w:asciiTheme="minorHAnsi" w:eastAsiaTheme="minorEastAsia" w:hAnsiTheme="minorHAnsi" w:cstheme="minorHAnsi"/>
          <w:sz w:val="22"/>
          <w:szCs w:val="22"/>
          <w:lang w:val="en-US" w:eastAsia="en-US"/>
        </w:rPr>
        <w:t>they are less wealthy than other people.</w:t>
      </w:r>
      <w:r w:rsidR="00660CBE" w:rsidRPr="00DD6227">
        <w:rPr>
          <w:rFonts w:asciiTheme="minorHAnsi" w:eastAsiaTheme="minorEastAsia" w:hAnsiTheme="minorHAnsi" w:cstheme="minorHAnsi"/>
          <w:sz w:val="22"/>
          <w:szCs w:val="22"/>
          <w:lang w:val="en-US" w:eastAsia="en-US"/>
        </w:rPr>
        <w:t xml:space="preserve"> </w:t>
      </w:r>
    </w:p>
    <w:p w14:paraId="6DB57D60" w14:textId="462DFD4A" w:rsidR="00CF40B7" w:rsidRPr="00DD6227" w:rsidRDefault="00CF40B7"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If a </w:t>
      </w:r>
      <w:r w:rsidR="00CF2B80" w:rsidRPr="00DD6227">
        <w:rPr>
          <w:rFonts w:asciiTheme="minorHAnsi" w:eastAsiaTheme="minorEastAsia" w:hAnsiTheme="minorHAnsi" w:cstheme="minorHAnsi"/>
          <w:sz w:val="22"/>
          <w:szCs w:val="22"/>
          <w:lang w:val="en-US" w:eastAsia="en-US"/>
        </w:rPr>
        <w:t>char</w:t>
      </w:r>
      <w:r w:rsidRPr="00DD6227">
        <w:rPr>
          <w:rFonts w:asciiTheme="minorHAnsi" w:eastAsiaTheme="minorEastAsia" w:hAnsiTheme="minorHAnsi" w:cstheme="minorHAnsi"/>
          <w:sz w:val="22"/>
          <w:szCs w:val="22"/>
          <w:lang w:val="en-US" w:eastAsia="en-US"/>
        </w:rPr>
        <w:t>ity’s purpose is</w:t>
      </w:r>
      <w:r w:rsidR="00C62EA8" w:rsidRPr="00DD6227">
        <w:rPr>
          <w:rFonts w:asciiTheme="minorHAnsi" w:eastAsiaTheme="minorEastAsia" w:hAnsiTheme="minorHAnsi" w:cstheme="minorHAnsi"/>
          <w:sz w:val="22"/>
          <w:szCs w:val="22"/>
          <w:lang w:val="en-US" w:eastAsia="en-US"/>
        </w:rPr>
        <w:t xml:space="preserve"> </w:t>
      </w:r>
      <w:r w:rsidR="00885600" w:rsidRPr="00DD6227">
        <w:rPr>
          <w:rFonts w:asciiTheme="minorHAnsi" w:eastAsiaTheme="minorEastAsia" w:hAnsiTheme="minorHAnsi" w:cstheme="minorHAnsi"/>
          <w:sz w:val="22"/>
          <w:szCs w:val="22"/>
          <w:lang w:val="en-US" w:eastAsia="en-US"/>
        </w:rPr>
        <w:t>providing</w:t>
      </w:r>
      <w:r w:rsidR="00C62EA8" w:rsidRPr="00DD6227">
        <w:rPr>
          <w:rFonts w:asciiTheme="minorHAnsi" w:eastAsiaTheme="minorEastAsia" w:hAnsiTheme="minorHAnsi" w:cstheme="minorHAnsi"/>
          <w:sz w:val="22"/>
          <w:szCs w:val="22"/>
          <w:lang w:val="en-US" w:eastAsia="en-US"/>
        </w:rPr>
        <w:t xml:space="preserve"> </w:t>
      </w:r>
      <w:r w:rsidR="00BE3E74" w:rsidRPr="00DD6227">
        <w:rPr>
          <w:rFonts w:asciiTheme="minorHAnsi" w:eastAsiaTheme="minorEastAsia" w:hAnsiTheme="minorHAnsi" w:cstheme="minorHAnsi"/>
          <w:sz w:val="22"/>
          <w:szCs w:val="22"/>
          <w:lang w:val="en-US" w:eastAsia="en-US"/>
        </w:rPr>
        <w:t>one or more</w:t>
      </w:r>
      <w:r w:rsidR="00BE3E74">
        <w:rPr>
          <w:rFonts w:asciiTheme="minorHAnsi" w:eastAsiaTheme="minorEastAsia" w:hAnsiTheme="minorHAnsi" w:cstheme="minorHAnsi"/>
          <w:sz w:val="22"/>
          <w:szCs w:val="22"/>
          <w:lang w:val="en-US" w:eastAsia="en-US"/>
        </w:rPr>
        <w:t xml:space="preserve"> necessary</w:t>
      </w:r>
      <w:r w:rsidR="00BE3E74" w:rsidRPr="00DD6227">
        <w:rPr>
          <w:rFonts w:asciiTheme="minorHAnsi" w:eastAsiaTheme="minorEastAsia" w:hAnsiTheme="minorHAnsi" w:cstheme="minorHAnsi"/>
          <w:sz w:val="22"/>
          <w:szCs w:val="22"/>
          <w:lang w:val="en-US" w:eastAsia="en-US"/>
        </w:rPr>
        <w:t xml:space="preserve"> goods or services </w:t>
      </w:r>
      <w:r w:rsidR="00BE3E74">
        <w:rPr>
          <w:rFonts w:asciiTheme="minorHAnsi" w:eastAsiaTheme="minorEastAsia" w:hAnsiTheme="minorHAnsi" w:cstheme="minorHAnsi"/>
          <w:sz w:val="22"/>
          <w:szCs w:val="22"/>
          <w:lang w:val="en-US" w:eastAsia="en-US"/>
        </w:rPr>
        <w:t xml:space="preserve">to </w:t>
      </w:r>
      <w:r w:rsidR="00C62EA8" w:rsidRPr="00DD6227">
        <w:rPr>
          <w:rFonts w:asciiTheme="minorHAnsi" w:eastAsiaTheme="minorEastAsia" w:hAnsiTheme="minorHAnsi" w:cstheme="minorHAnsi"/>
          <w:sz w:val="22"/>
          <w:szCs w:val="22"/>
          <w:lang w:val="en-US" w:eastAsia="en-US"/>
        </w:rPr>
        <w:t xml:space="preserve">people who lack what </w:t>
      </w:r>
      <w:r w:rsidR="00007F4D" w:rsidRPr="00DD6227">
        <w:rPr>
          <w:rFonts w:asciiTheme="minorHAnsi" w:eastAsiaTheme="minorEastAsia" w:hAnsiTheme="minorHAnsi" w:cstheme="minorHAnsi"/>
          <w:sz w:val="22"/>
          <w:szCs w:val="22"/>
          <w:lang w:val="en-US" w:eastAsia="en-US"/>
        </w:rPr>
        <w:t>they need</w:t>
      </w:r>
      <w:r w:rsidR="00C62EA8" w:rsidRPr="00DD6227">
        <w:rPr>
          <w:rFonts w:asciiTheme="minorHAnsi" w:eastAsiaTheme="minorEastAsia" w:hAnsiTheme="minorHAnsi" w:cstheme="minorHAnsi"/>
          <w:sz w:val="22"/>
          <w:szCs w:val="22"/>
          <w:lang w:val="en-US" w:eastAsia="en-US"/>
        </w:rPr>
        <w:t xml:space="preserve"> for a modest standard of living</w:t>
      </w:r>
      <w:r w:rsidRPr="00DD6227">
        <w:rPr>
          <w:rFonts w:asciiTheme="minorHAnsi" w:eastAsiaTheme="minorEastAsia" w:hAnsiTheme="minorHAnsi" w:cstheme="minorHAnsi"/>
          <w:sz w:val="22"/>
          <w:szCs w:val="22"/>
          <w:lang w:val="en-US" w:eastAsia="en-US"/>
        </w:rPr>
        <w:t xml:space="preserve">, then </w:t>
      </w:r>
      <w:r w:rsidR="00E85A3D" w:rsidRPr="00DD6227">
        <w:rPr>
          <w:rFonts w:asciiTheme="minorHAnsi" w:eastAsiaTheme="minorEastAsia" w:hAnsiTheme="minorHAnsi" w:cstheme="minorHAnsi"/>
          <w:sz w:val="22"/>
          <w:szCs w:val="22"/>
          <w:lang w:val="en-US" w:eastAsia="en-US"/>
        </w:rPr>
        <w:t>the charity</w:t>
      </w:r>
      <w:r w:rsidRPr="00DD6227">
        <w:rPr>
          <w:rFonts w:asciiTheme="minorHAnsi" w:eastAsiaTheme="minorEastAsia" w:hAnsiTheme="minorHAnsi" w:cstheme="minorHAnsi"/>
          <w:sz w:val="22"/>
          <w:szCs w:val="22"/>
          <w:lang w:val="en-US" w:eastAsia="en-US"/>
        </w:rPr>
        <w:t xml:space="preserve"> </w:t>
      </w:r>
      <w:r w:rsidR="008638BD">
        <w:rPr>
          <w:rFonts w:asciiTheme="minorHAnsi" w:eastAsiaTheme="minorEastAsia" w:hAnsiTheme="minorHAnsi" w:cstheme="minorHAnsi"/>
          <w:sz w:val="22"/>
          <w:szCs w:val="22"/>
          <w:lang w:val="en-US" w:eastAsia="en-US"/>
        </w:rPr>
        <w:t>has</w:t>
      </w:r>
      <w:r w:rsidRPr="00DD6227">
        <w:rPr>
          <w:rFonts w:asciiTheme="minorHAnsi" w:eastAsiaTheme="minorEastAsia" w:hAnsiTheme="minorHAnsi" w:cstheme="minorHAnsi"/>
          <w:sz w:val="22"/>
          <w:szCs w:val="22"/>
          <w:lang w:val="en-US" w:eastAsia="en-US"/>
        </w:rPr>
        <w:t xml:space="preserve"> a purpose of relieving poverty.</w:t>
      </w:r>
      <w:r w:rsidR="00885600" w:rsidRPr="00DD6227">
        <w:rPr>
          <w:rFonts w:asciiTheme="minorHAnsi" w:eastAsiaTheme="minorEastAsia" w:hAnsiTheme="minorHAnsi" w:cstheme="minorHAnsi"/>
          <w:sz w:val="22"/>
          <w:szCs w:val="22"/>
          <w:lang w:val="en-US" w:eastAsia="en-US"/>
        </w:rPr>
        <w:t xml:space="preserve"> </w:t>
      </w:r>
      <w:r w:rsidR="0047506B" w:rsidRPr="00DD6227">
        <w:rPr>
          <w:rFonts w:asciiTheme="minorHAnsi" w:eastAsiaTheme="minorEastAsia" w:hAnsiTheme="minorHAnsi" w:cstheme="minorHAnsi"/>
          <w:sz w:val="22"/>
          <w:szCs w:val="22"/>
          <w:lang w:val="en-US" w:eastAsia="en-US"/>
        </w:rPr>
        <w:t>For example, a</w:t>
      </w:r>
      <w:r w:rsidR="00885600" w:rsidRPr="00DD6227">
        <w:rPr>
          <w:rFonts w:asciiTheme="minorHAnsi" w:eastAsiaTheme="minorEastAsia" w:hAnsiTheme="minorHAnsi" w:cstheme="minorHAnsi"/>
          <w:sz w:val="22"/>
          <w:szCs w:val="22"/>
          <w:lang w:val="en-US" w:eastAsia="en-US"/>
        </w:rPr>
        <w:t xml:space="preserve"> </w:t>
      </w:r>
      <w:r w:rsidR="00F75151" w:rsidRPr="00DD6227">
        <w:rPr>
          <w:rFonts w:asciiTheme="minorHAnsi" w:eastAsiaTheme="minorEastAsia" w:hAnsiTheme="minorHAnsi" w:cstheme="minorHAnsi"/>
          <w:sz w:val="22"/>
          <w:szCs w:val="22"/>
          <w:lang w:val="en-US" w:eastAsia="en-US"/>
        </w:rPr>
        <w:t>char</w:t>
      </w:r>
      <w:r w:rsidR="00885600" w:rsidRPr="00DD6227">
        <w:rPr>
          <w:rFonts w:asciiTheme="minorHAnsi" w:eastAsiaTheme="minorEastAsia" w:hAnsiTheme="minorHAnsi" w:cstheme="minorHAnsi"/>
          <w:sz w:val="22"/>
          <w:szCs w:val="22"/>
          <w:lang w:val="en-US" w:eastAsia="en-US"/>
        </w:rPr>
        <w:t xml:space="preserve">ity may relieve poverty </w:t>
      </w:r>
      <w:r w:rsidR="0011077B">
        <w:rPr>
          <w:rFonts w:asciiTheme="minorHAnsi" w:eastAsiaTheme="minorEastAsia" w:hAnsiTheme="minorHAnsi" w:cstheme="minorHAnsi"/>
          <w:sz w:val="22"/>
          <w:szCs w:val="22"/>
          <w:lang w:val="en-US" w:eastAsia="en-US"/>
        </w:rPr>
        <w:t>by</w:t>
      </w:r>
      <w:r w:rsidR="0011077B" w:rsidRPr="00DD6227">
        <w:rPr>
          <w:rFonts w:asciiTheme="minorHAnsi" w:eastAsiaTheme="minorEastAsia" w:hAnsiTheme="minorHAnsi" w:cstheme="minorHAnsi"/>
          <w:sz w:val="22"/>
          <w:szCs w:val="22"/>
          <w:lang w:val="en-US" w:eastAsia="en-US"/>
        </w:rPr>
        <w:t xml:space="preserve"> </w:t>
      </w:r>
      <w:r w:rsidR="00885600" w:rsidRPr="00DD6227">
        <w:rPr>
          <w:rFonts w:asciiTheme="minorHAnsi" w:eastAsiaTheme="minorEastAsia" w:hAnsiTheme="minorHAnsi" w:cstheme="minorHAnsi"/>
          <w:sz w:val="22"/>
          <w:szCs w:val="22"/>
          <w:lang w:val="en-US" w:eastAsia="en-US"/>
        </w:rPr>
        <w:t xml:space="preserve">providing </w:t>
      </w:r>
      <w:r w:rsidR="00445C31" w:rsidRPr="00DD6227">
        <w:rPr>
          <w:rFonts w:asciiTheme="minorHAnsi" w:eastAsiaTheme="minorEastAsia" w:hAnsiTheme="minorHAnsi" w:cstheme="minorHAnsi"/>
          <w:sz w:val="22"/>
          <w:szCs w:val="22"/>
          <w:lang w:val="en-US" w:eastAsia="en-US"/>
        </w:rPr>
        <w:t xml:space="preserve">necessities such as food, clothing or </w:t>
      </w:r>
      <w:r w:rsidR="000569ED" w:rsidRPr="00DD6227">
        <w:rPr>
          <w:rFonts w:asciiTheme="minorHAnsi" w:eastAsiaTheme="minorEastAsia" w:hAnsiTheme="minorHAnsi" w:cstheme="minorHAnsi"/>
          <w:sz w:val="22"/>
          <w:szCs w:val="22"/>
          <w:lang w:val="en-US" w:eastAsia="en-US"/>
        </w:rPr>
        <w:t>accommodation</w:t>
      </w:r>
      <w:r w:rsidR="00133E33" w:rsidRPr="00DD6227">
        <w:rPr>
          <w:rFonts w:asciiTheme="minorHAnsi" w:eastAsiaTheme="minorEastAsia" w:hAnsiTheme="minorHAnsi" w:cstheme="minorHAnsi"/>
          <w:sz w:val="22"/>
          <w:szCs w:val="22"/>
          <w:lang w:val="en-US" w:eastAsia="en-US"/>
        </w:rPr>
        <w:t xml:space="preserve"> to people who cannot afford the</w:t>
      </w:r>
      <w:r w:rsidR="00BA47B7">
        <w:rPr>
          <w:rFonts w:asciiTheme="minorHAnsi" w:eastAsiaTheme="minorEastAsia" w:hAnsiTheme="minorHAnsi" w:cstheme="minorHAnsi"/>
          <w:sz w:val="22"/>
          <w:szCs w:val="22"/>
          <w:lang w:val="en-US" w:eastAsia="en-US"/>
        </w:rPr>
        <w:t>m</w:t>
      </w:r>
      <w:r w:rsidR="00133E33" w:rsidRPr="00DD6227">
        <w:rPr>
          <w:rFonts w:asciiTheme="minorHAnsi" w:eastAsiaTheme="minorEastAsia" w:hAnsiTheme="minorHAnsi" w:cstheme="minorHAnsi"/>
          <w:sz w:val="22"/>
          <w:szCs w:val="22"/>
          <w:lang w:val="en-US" w:eastAsia="en-US"/>
        </w:rPr>
        <w:t>.</w:t>
      </w:r>
      <w:r w:rsidR="00445C31" w:rsidRPr="00DD6227">
        <w:rPr>
          <w:rFonts w:asciiTheme="minorHAnsi" w:eastAsiaTheme="minorEastAsia" w:hAnsiTheme="minorHAnsi" w:cstheme="minorHAnsi"/>
          <w:sz w:val="22"/>
          <w:szCs w:val="22"/>
          <w:lang w:val="en-US" w:eastAsia="en-US"/>
        </w:rPr>
        <w:t xml:space="preserve"> </w:t>
      </w:r>
    </w:p>
    <w:p w14:paraId="5755051B" w14:textId="41EAC4D6" w:rsidR="000220C6" w:rsidRDefault="00C74E75"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A </w:t>
      </w:r>
      <w:r w:rsidR="00F75151" w:rsidRPr="00DD6227">
        <w:rPr>
          <w:rFonts w:asciiTheme="minorHAnsi" w:eastAsiaTheme="minorEastAsia" w:hAnsiTheme="minorHAnsi" w:cstheme="minorHAnsi"/>
          <w:sz w:val="22"/>
          <w:szCs w:val="22"/>
          <w:lang w:val="en-US" w:eastAsia="en-US"/>
        </w:rPr>
        <w:t>char</w:t>
      </w:r>
      <w:r w:rsidRPr="00DD6227">
        <w:rPr>
          <w:rFonts w:asciiTheme="minorHAnsi" w:eastAsiaTheme="minorEastAsia" w:hAnsiTheme="minorHAnsi" w:cstheme="minorHAnsi"/>
          <w:sz w:val="22"/>
          <w:szCs w:val="22"/>
          <w:lang w:val="en-US" w:eastAsia="en-US"/>
        </w:rPr>
        <w:t xml:space="preserve">ity </w:t>
      </w:r>
      <w:r w:rsidR="00BA47B7">
        <w:rPr>
          <w:rFonts w:asciiTheme="minorHAnsi" w:eastAsiaTheme="minorEastAsia" w:hAnsiTheme="minorHAnsi" w:cstheme="minorHAnsi"/>
          <w:sz w:val="22"/>
          <w:szCs w:val="22"/>
          <w:lang w:val="en-US" w:eastAsia="en-US"/>
        </w:rPr>
        <w:t>does</w:t>
      </w:r>
      <w:r w:rsidR="00BA47B7" w:rsidRPr="00DD6227">
        <w:rPr>
          <w:rFonts w:asciiTheme="minorHAnsi" w:eastAsiaTheme="minorEastAsia" w:hAnsiTheme="minorHAnsi" w:cstheme="minorHAnsi"/>
          <w:sz w:val="22"/>
          <w:szCs w:val="22"/>
          <w:lang w:val="en-US" w:eastAsia="en-US"/>
        </w:rPr>
        <w:t xml:space="preserve"> </w:t>
      </w:r>
      <w:r w:rsidRPr="00DD6227">
        <w:rPr>
          <w:rFonts w:asciiTheme="minorHAnsi" w:eastAsiaTheme="minorEastAsia" w:hAnsiTheme="minorHAnsi" w:cstheme="minorHAnsi"/>
          <w:sz w:val="22"/>
          <w:szCs w:val="22"/>
          <w:lang w:val="en-US" w:eastAsia="en-US"/>
        </w:rPr>
        <w:t>not have a purpose of relieving poverty if</w:t>
      </w:r>
      <w:r w:rsidR="000220C6">
        <w:rPr>
          <w:rFonts w:asciiTheme="minorHAnsi" w:eastAsiaTheme="minorEastAsia" w:hAnsiTheme="minorHAnsi" w:cstheme="minorHAnsi"/>
          <w:sz w:val="22"/>
          <w:szCs w:val="22"/>
          <w:lang w:val="en-US" w:eastAsia="en-US"/>
        </w:rPr>
        <w:t>:</w:t>
      </w:r>
      <w:r w:rsidRPr="00DD6227">
        <w:rPr>
          <w:rFonts w:asciiTheme="minorHAnsi" w:eastAsiaTheme="minorEastAsia" w:hAnsiTheme="minorHAnsi" w:cstheme="minorHAnsi"/>
          <w:sz w:val="22"/>
          <w:szCs w:val="22"/>
          <w:lang w:val="en-US" w:eastAsia="en-US"/>
        </w:rPr>
        <w:t xml:space="preserve"> </w:t>
      </w:r>
    </w:p>
    <w:p w14:paraId="29CB8266" w14:textId="76E55736" w:rsidR="00A5281F" w:rsidRPr="00DD6227" w:rsidRDefault="00C74E75" w:rsidP="008C26D2">
      <w:pPr>
        <w:pStyle w:val="ListParagraph"/>
        <w:numPr>
          <w:ilvl w:val="1"/>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its purpose is </w:t>
      </w:r>
      <w:r w:rsidR="003B479E" w:rsidRPr="00DD6227">
        <w:rPr>
          <w:rFonts w:asciiTheme="minorHAnsi" w:eastAsiaTheme="minorEastAsia" w:hAnsiTheme="minorHAnsi" w:cstheme="minorHAnsi"/>
          <w:sz w:val="22"/>
          <w:szCs w:val="22"/>
          <w:lang w:val="en-US" w:eastAsia="en-US"/>
        </w:rPr>
        <w:t>providing luxuries or other goods or services that are not necessary for a modest standard of living</w:t>
      </w:r>
      <w:r w:rsidR="007B6C4B">
        <w:rPr>
          <w:rFonts w:asciiTheme="minorHAnsi" w:eastAsiaTheme="minorEastAsia" w:hAnsiTheme="minorHAnsi" w:cstheme="minorHAnsi"/>
          <w:sz w:val="22"/>
          <w:szCs w:val="22"/>
          <w:lang w:val="en-US" w:eastAsia="en-US"/>
        </w:rPr>
        <w:t xml:space="preserve"> (</w:t>
      </w:r>
      <w:r w:rsidR="00E870FE" w:rsidRPr="00DD6227">
        <w:rPr>
          <w:rFonts w:asciiTheme="minorHAnsi" w:eastAsiaTheme="minorEastAsia" w:hAnsiTheme="minorHAnsi" w:cstheme="minorHAnsi"/>
          <w:sz w:val="22"/>
          <w:szCs w:val="22"/>
          <w:lang w:val="en-US" w:eastAsia="en-US"/>
        </w:rPr>
        <w:t xml:space="preserve">even if those goods or services are provided to people who </w:t>
      </w:r>
      <w:r w:rsidR="0004040F" w:rsidRPr="00DD6227">
        <w:rPr>
          <w:rFonts w:asciiTheme="minorHAnsi" w:eastAsiaTheme="minorEastAsia" w:hAnsiTheme="minorHAnsi" w:cstheme="minorHAnsi"/>
          <w:sz w:val="22"/>
          <w:szCs w:val="22"/>
          <w:lang w:val="en-US" w:eastAsia="en-US"/>
        </w:rPr>
        <w:t>are in poverty</w:t>
      </w:r>
      <w:r w:rsidR="007B6C4B">
        <w:rPr>
          <w:rFonts w:asciiTheme="minorHAnsi" w:eastAsiaTheme="minorEastAsia" w:hAnsiTheme="minorHAnsi" w:cstheme="minorHAnsi"/>
          <w:sz w:val="22"/>
          <w:szCs w:val="22"/>
          <w:lang w:val="en-US" w:eastAsia="en-US"/>
        </w:rPr>
        <w:t>)</w:t>
      </w:r>
      <w:r w:rsidR="00661DFD">
        <w:rPr>
          <w:rFonts w:asciiTheme="minorHAnsi" w:eastAsiaTheme="minorEastAsia" w:hAnsiTheme="minorHAnsi" w:cstheme="minorHAnsi"/>
          <w:sz w:val="22"/>
          <w:szCs w:val="22"/>
          <w:lang w:val="en-US" w:eastAsia="en-US"/>
        </w:rPr>
        <w:t>;</w:t>
      </w:r>
      <w:r w:rsidR="00D11B52">
        <w:rPr>
          <w:rStyle w:val="FootnoteReference"/>
          <w:rFonts w:asciiTheme="minorHAnsi" w:eastAsiaTheme="minorEastAsia" w:hAnsiTheme="minorHAnsi" w:cstheme="minorHAnsi"/>
          <w:sz w:val="22"/>
          <w:szCs w:val="22"/>
          <w:lang w:val="en-US" w:eastAsia="en-US"/>
        </w:rPr>
        <w:footnoteReference w:id="9"/>
      </w:r>
      <w:r w:rsidR="00661DFD">
        <w:rPr>
          <w:rFonts w:asciiTheme="minorHAnsi" w:eastAsiaTheme="minorEastAsia" w:hAnsiTheme="minorHAnsi" w:cstheme="minorHAnsi"/>
          <w:sz w:val="22"/>
          <w:szCs w:val="22"/>
          <w:lang w:val="en-US" w:eastAsia="en-US"/>
        </w:rPr>
        <w:t xml:space="preserve"> or</w:t>
      </w:r>
    </w:p>
    <w:p w14:paraId="641B1D8D" w14:textId="574F9AFE" w:rsidR="003B479E" w:rsidRPr="00DD6227" w:rsidRDefault="003B479E" w:rsidP="008C26D2">
      <w:pPr>
        <w:pStyle w:val="ListParagraph"/>
        <w:numPr>
          <w:ilvl w:val="1"/>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it provides goods or services to people who already </w:t>
      </w:r>
      <w:r w:rsidR="006F7720" w:rsidRPr="00DD6227">
        <w:rPr>
          <w:rFonts w:asciiTheme="minorHAnsi" w:eastAsiaTheme="minorEastAsia" w:hAnsiTheme="minorHAnsi" w:cstheme="minorHAnsi"/>
          <w:sz w:val="22"/>
          <w:szCs w:val="22"/>
          <w:lang w:val="en-US" w:eastAsia="en-US"/>
        </w:rPr>
        <w:t>have what they need for a modest standard of living.</w:t>
      </w:r>
    </w:p>
    <w:p w14:paraId="596A9500" w14:textId="2B178B63" w:rsidR="00660CBE" w:rsidRPr="00DD6227" w:rsidRDefault="000C38BA" w:rsidP="00A72A96">
      <w:pPr>
        <w:pStyle w:val="ListParagraph"/>
        <w:spacing w:before="120" w:after="120" w:line="276" w:lineRule="auto"/>
        <w:ind w:left="930"/>
        <w:textAlignment w:val="baseline"/>
        <w:rPr>
          <w:rFonts w:asciiTheme="minorHAnsi" w:eastAsiaTheme="minorEastAsia" w:hAnsiTheme="minorHAnsi" w:cstheme="minorHAnsi"/>
          <w:sz w:val="22"/>
          <w:szCs w:val="22"/>
          <w:u w:val="single"/>
          <w:lang w:val="en-US" w:eastAsia="en-US"/>
        </w:rPr>
      </w:pPr>
      <w:r w:rsidRPr="00DD6227">
        <w:rPr>
          <w:rFonts w:asciiTheme="minorHAnsi" w:eastAsiaTheme="minorEastAsia" w:hAnsiTheme="minorHAnsi" w:cstheme="minorHAnsi"/>
          <w:sz w:val="22"/>
          <w:szCs w:val="22"/>
          <w:u w:val="single"/>
          <w:lang w:val="en-US" w:eastAsia="en-US"/>
        </w:rPr>
        <w:t>Benevolent relief of o</w:t>
      </w:r>
      <w:r w:rsidR="00036DBE" w:rsidRPr="00DD6227">
        <w:rPr>
          <w:rFonts w:asciiTheme="minorHAnsi" w:eastAsiaTheme="minorEastAsia" w:hAnsiTheme="minorHAnsi" w:cstheme="minorHAnsi"/>
          <w:sz w:val="22"/>
          <w:szCs w:val="22"/>
          <w:u w:val="single"/>
          <w:lang w:val="en-US" w:eastAsia="en-US"/>
        </w:rPr>
        <w:t>ther c</w:t>
      </w:r>
      <w:r w:rsidR="00660CBE" w:rsidRPr="00DD6227">
        <w:rPr>
          <w:rFonts w:asciiTheme="minorHAnsi" w:eastAsiaTheme="minorEastAsia" w:hAnsiTheme="minorHAnsi" w:cstheme="minorHAnsi"/>
          <w:sz w:val="22"/>
          <w:szCs w:val="22"/>
          <w:u w:val="single"/>
          <w:lang w:val="en-US" w:eastAsia="en-US"/>
        </w:rPr>
        <w:t>onditions</w:t>
      </w:r>
      <w:r w:rsidR="00A72A96" w:rsidRPr="00DD6227">
        <w:rPr>
          <w:rFonts w:asciiTheme="minorHAnsi" w:eastAsiaTheme="minorEastAsia" w:hAnsiTheme="minorHAnsi" w:cstheme="minorHAnsi"/>
          <w:sz w:val="22"/>
          <w:szCs w:val="22"/>
          <w:u w:val="single"/>
          <w:lang w:val="en-US" w:eastAsia="en-US"/>
        </w:rPr>
        <w:t xml:space="preserve"> that</w:t>
      </w:r>
      <w:r w:rsidR="00660CBE" w:rsidRPr="00DD6227">
        <w:rPr>
          <w:rFonts w:asciiTheme="minorHAnsi" w:eastAsiaTheme="minorEastAsia" w:hAnsiTheme="minorHAnsi" w:cstheme="minorHAnsi"/>
          <w:sz w:val="22"/>
          <w:szCs w:val="22"/>
          <w:u w:val="single"/>
          <w:lang w:val="en-US" w:eastAsia="en-US"/>
        </w:rPr>
        <w:t xml:space="preserve"> arouse compassion </w:t>
      </w:r>
      <w:r w:rsidR="00A56DA2">
        <w:rPr>
          <w:rFonts w:asciiTheme="minorHAnsi" w:eastAsiaTheme="minorEastAsia" w:hAnsiTheme="minorHAnsi" w:cstheme="minorHAnsi"/>
          <w:sz w:val="22"/>
          <w:szCs w:val="22"/>
          <w:u w:val="single"/>
          <w:lang w:val="en-US" w:eastAsia="en-US"/>
        </w:rPr>
        <w:t>within</w:t>
      </w:r>
      <w:r w:rsidR="00A56DA2" w:rsidRPr="00DD6227">
        <w:rPr>
          <w:rFonts w:asciiTheme="minorHAnsi" w:eastAsiaTheme="minorEastAsia" w:hAnsiTheme="minorHAnsi" w:cstheme="minorHAnsi"/>
          <w:sz w:val="22"/>
          <w:szCs w:val="22"/>
          <w:u w:val="single"/>
          <w:lang w:val="en-US" w:eastAsia="en-US"/>
        </w:rPr>
        <w:t xml:space="preserve"> </w:t>
      </w:r>
      <w:r w:rsidR="00660CBE" w:rsidRPr="00DD6227">
        <w:rPr>
          <w:rFonts w:asciiTheme="minorHAnsi" w:eastAsiaTheme="minorEastAsia" w:hAnsiTheme="minorHAnsi" w:cstheme="minorHAnsi"/>
          <w:sz w:val="22"/>
          <w:szCs w:val="22"/>
          <w:u w:val="single"/>
          <w:lang w:val="en-US" w:eastAsia="en-US"/>
        </w:rPr>
        <w:t>the community</w:t>
      </w:r>
    </w:p>
    <w:p w14:paraId="31B3C53F" w14:textId="29DE0EAF" w:rsidR="00160308" w:rsidRPr="00DD6227" w:rsidRDefault="00CE592B"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A PBI may have a purpose of relieving the distress arising from conditions other than poverty.</w:t>
      </w:r>
      <w:r w:rsidR="004A65BF" w:rsidRPr="00DD6227">
        <w:rPr>
          <w:rFonts w:asciiTheme="minorHAnsi" w:eastAsiaTheme="minorEastAsia" w:hAnsiTheme="minorHAnsi" w:cstheme="minorHAnsi"/>
          <w:sz w:val="22"/>
          <w:szCs w:val="22"/>
          <w:lang w:val="en-US" w:eastAsia="en-US"/>
        </w:rPr>
        <w:t xml:space="preserve"> </w:t>
      </w:r>
      <w:r w:rsidR="00B9758D" w:rsidRPr="00DD6227">
        <w:rPr>
          <w:rFonts w:asciiTheme="minorHAnsi" w:eastAsiaTheme="minorEastAsia" w:hAnsiTheme="minorHAnsi" w:cstheme="minorHAnsi"/>
          <w:sz w:val="22"/>
          <w:szCs w:val="22"/>
          <w:lang w:val="en-US" w:eastAsia="en-US"/>
        </w:rPr>
        <w:t xml:space="preserve">The relevant conditions are </w:t>
      </w:r>
      <w:r w:rsidR="00D27A29">
        <w:rPr>
          <w:rFonts w:asciiTheme="minorHAnsi" w:eastAsiaTheme="minorEastAsia" w:hAnsiTheme="minorHAnsi" w:cstheme="minorHAnsi"/>
          <w:sz w:val="22"/>
          <w:szCs w:val="22"/>
          <w:lang w:val="en-US" w:eastAsia="en-US"/>
        </w:rPr>
        <w:t>ones</w:t>
      </w:r>
      <w:r w:rsidR="00D27A29" w:rsidRPr="00DD6227">
        <w:rPr>
          <w:rFonts w:asciiTheme="minorHAnsi" w:eastAsiaTheme="minorEastAsia" w:hAnsiTheme="minorHAnsi" w:cstheme="minorHAnsi"/>
          <w:sz w:val="22"/>
          <w:szCs w:val="22"/>
          <w:lang w:val="en-US" w:eastAsia="en-US"/>
        </w:rPr>
        <w:t xml:space="preserve"> </w:t>
      </w:r>
      <w:r w:rsidR="00D27A29">
        <w:rPr>
          <w:rFonts w:asciiTheme="minorHAnsi" w:eastAsiaTheme="minorEastAsia" w:hAnsiTheme="minorHAnsi" w:cstheme="minorHAnsi"/>
          <w:sz w:val="22"/>
          <w:szCs w:val="22"/>
          <w:lang w:val="en-US" w:eastAsia="en-US"/>
        </w:rPr>
        <w:t>that</w:t>
      </w:r>
      <w:r w:rsidR="00D27A29" w:rsidRPr="00DD6227">
        <w:rPr>
          <w:rFonts w:asciiTheme="minorHAnsi" w:eastAsiaTheme="minorEastAsia" w:hAnsiTheme="minorHAnsi" w:cstheme="minorHAnsi"/>
          <w:sz w:val="22"/>
          <w:szCs w:val="22"/>
          <w:lang w:val="en-US" w:eastAsia="en-US"/>
        </w:rPr>
        <w:t xml:space="preserve"> </w:t>
      </w:r>
      <w:r w:rsidR="00B9758D" w:rsidRPr="00DD6227">
        <w:rPr>
          <w:rFonts w:asciiTheme="minorHAnsi" w:eastAsiaTheme="minorEastAsia" w:hAnsiTheme="minorHAnsi" w:cstheme="minorHAnsi"/>
          <w:sz w:val="22"/>
          <w:szCs w:val="22"/>
          <w:lang w:val="en-US" w:eastAsia="en-US"/>
        </w:rPr>
        <w:t>‘arouse the compassion of the community’.</w:t>
      </w:r>
      <w:r w:rsidR="00B9758D" w:rsidRPr="00DD6227">
        <w:rPr>
          <w:rStyle w:val="FootnoteReference"/>
          <w:rFonts w:asciiTheme="minorHAnsi" w:eastAsiaTheme="minorEastAsia" w:hAnsiTheme="minorHAnsi" w:cstheme="minorHAnsi"/>
          <w:sz w:val="22"/>
          <w:szCs w:val="22"/>
          <w:lang w:val="en-US" w:eastAsia="en-US"/>
        </w:rPr>
        <w:footnoteReference w:id="10"/>
      </w:r>
      <w:r w:rsidR="005A035B">
        <w:rPr>
          <w:rFonts w:asciiTheme="minorHAnsi" w:eastAsiaTheme="minorEastAsia" w:hAnsiTheme="minorHAnsi" w:cstheme="minorHAnsi"/>
          <w:sz w:val="22"/>
          <w:szCs w:val="22"/>
          <w:lang w:val="en-US" w:eastAsia="en-US"/>
        </w:rPr>
        <w:t xml:space="preserve"> These conditions include</w:t>
      </w:r>
      <w:r w:rsidR="000952C6">
        <w:rPr>
          <w:rFonts w:asciiTheme="minorHAnsi" w:eastAsiaTheme="minorEastAsia" w:hAnsiTheme="minorHAnsi" w:cstheme="minorHAnsi"/>
          <w:sz w:val="22"/>
          <w:szCs w:val="22"/>
          <w:lang w:val="en-US" w:eastAsia="en-US"/>
        </w:rPr>
        <w:t xml:space="preserve">, but are not </w:t>
      </w:r>
      <w:r w:rsidR="00365598">
        <w:rPr>
          <w:rFonts w:asciiTheme="minorHAnsi" w:eastAsiaTheme="minorEastAsia" w:hAnsiTheme="minorHAnsi" w:cstheme="minorHAnsi"/>
          <w:sz w:val="22"/>
          <w:szCs w:val="22"/>
          <w:lang w:val="en-US" w:eastAsia="en-US"/>
        </w:rPr>
        <w:t xml:space="preserve">restricted </w:t>
      </w:r>
      <w:r w:rsidR="000952C6">
        <w:rPr>
          <w:rFonts w:asciiTheme="minorHAnsi" w:eastAsiaTheme="minorEastAsia" w:hAnsiTheme="minorHAnsi" w:cstheme="minorHAnsi"/>
          <w:sz w:val="22"/>
          <w:szCs w:val="22"/>
          <w:lang w:val="en-US" w:eastAsia="en-US"/>
        </w:rPr>
        <w:t xml:space="preserve">to, sickness, disability, </w:t>
      </w:r>
      <w:proofErr w:type="gramStart"/>
      <w:r w:rsidR="000952C6">
        <w:rPr>
          <w:rFonts w:asciiTheme="minorHAnsi" w:eastAsiaTheme="minorEastAsia" w:hAnsiTheme="minorHAnsi" w:cstheme="minorHAnsi"/>
          <w:sz w:val="22"/>
          <w:szCs w:val="22"/>
          <w:lang w:val="en-US" w:eastAsia="en-US"/>
        </w:rPr>
        <w:t>misfortune</w:t>
      </w:r>
      <w:proofErr w:type="gramEnd"/>
      <w:r w:rsidR="000952C6">
        <w:rPr>
          <w:rFonts w:asciiTheme="minorHAnsi" w:eastAsiaTheme="minorEastAsia" w:hAnsiTheme="minorHAnsi" w:cstheme="minorHAnsi"/>
          <w:sz w:val="22"/>
          <w:szCs w:val="22"/>
          <w:lang w:val="en-US" w:eastAsia="en-US"/>
        </w:rPr>
        <w:t xml:space="preserve"> and helplessness.</w:t>
      </w:r>
    </w:p>
    <w:p w14:paraId="61C257D8" w14:textId="66337AE0" w:rsidR="00B81753" w:rsidRPr="00DD6227" w:rsidRDefault="00F51430"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For</w:t>
      </w:r>
      <w:r w:rsidR="00CE592B" w:rsidRPr="00DD6227">
        <w:rPr>
          <w:rFonts w:asciiTheme="minorHAnsi" w:eastAsiaTheme="minorEastAsia" w:hAnsiTheme="minorHAnsi" w:cstheme="minorHAnsi"/>
          <w:sz w:val="22"/>
          <w:szCs w:val="22"/>
          <w:lang w:val="en-US" w:eastAsia="en-US"/>
        </w:rPr>
        <w:t xml:space="preserve"> a condition to arouse compassion </w:t>
      </w:r>
      <w:r w:rsidR="005969C7">
        <w:rPr>
          <w:rFonts w:asciiTheme="minorHAnsi" w:eastAsiaTheme="minorEastAsia" w:hAnsiTheme="minorHAnsi" w:cstheme="minorHAnsi"/>
          <w:sz w:val="22"/>
          <w:szCs w:val="22"/>
          <w:lang w:val="en-US" w:eastAsia="en-US"/>
        </w:rPr>
        <w:t>within</w:t>
      </w:r>
      <w:r w:rsidR="00CE592B" w:rsidRPr="00DD6227">
        <w:rPr>
          <w:rFonts w:asciiTheme="minorHAnsi" w:eastAsiaTheme="minorEastAsia" w:hAnsiTheme="minorHAnsi" w:cstheme="minorHAnsi"/>
          <w:sz w:val="22"/>
          <w:szCs w:val="22"/>
          <w:lang w:val="en-US" w:eastAsia="en-US"/>
        </w:rPr>
        <w:t xml:space="preserve"> the community, </w:t>
      </w:r>
      <w:r w:rsidR="00475E50">
        <w:rPr>
          <w:rFonts w:asciiTheme="minorHAnsi" w:eastAsiaTheme="minorEastAsia" w:hAnsiTheme="minorHAnsi" w:cstheme="minorHAnsi"/>
          <w:sz w:val="22"/>
          <w:szCs w:val="22"/>
          <w:lang w:val="en-US" w:eastAsia="en-US"/>
        </w:rPr>
        <w:t>it</w:t>
      </w:r>
      <w:r w:rsidR="008568F4" w:rsidRPr="00DD6227">
        <w:rPr>
          <w:rFonts w:asciiTheme="minorHAnsi" w:eastAsiaTheme="minorEastAsia" w:hAnsiTheme="minorHAnsi" w:cstheme="minorHAnsi"/>
          <w:sz w:val="22"/>
          <w:szCs w:val="22"/>
          <w:lang w:val="en-US" w:eastAsia="en-US"/>
        </w:rPr>
        <w:t xml:space="preserve"> must cause</w:t>
      </w:r>
      <w:r w:rsidR="004B6C40" w:rsidRPr="00DD6227">
        <w:rPr>
          <w:rFonts w:asciiTheme="minorHAnsi" w:eastAsiaTheme="minorEastAsia" w:hAnsiTheme="minorHAnsi" w:cstheme="minorHAnsi"/>
          <w:sz w:val="22"/>
          <w:szCs w:val="22"/>
          <w:lang w:val="en-US" w:eastAsia="en-US"/>
        </w:rPr>
        <w:t xml:space="preserve"> distress </w:t>
      </w:r>
      <w:r w:rsidR="008568F4" w:rsidRPr="00DD6227">
        <w:rPr>
          <w:rFonts w:asciiTheme="minorHAnsi" w:eastAsiaTheme="minorEastAsia" w:hAnsiTheme="minorHAnsi" w:cstheme="minorHAnsi"/>
          <w:sz w:val="22"/>
          <w:szCs w:val="22"/>
          <w:lang w:val="en-US" w:eastAsia="en-US"/>
        </w:rPr>
        <w:t xml:space="preserve">that </w:t>
      </w:r>
      <w:r w:rsidR="00480F2D" w:rsidRPr="00DD6227">
        <w:rPr>
          <w:rFonts w:asciiTheme="minorHAnsi" w:eastAsiaTheme="minorEastAsia" w:hAnsiTheme="minorHAnsi" w:cstheme="minorHAnsi"/>
          <w:sz w:val="22"/>
          <w:szCs w:val="22"/>
          <w:lang w:val="en-US" w:eastAsia="en-US"/>
        </w:rPr>
        <w:t>goes beyond the pain and suffering of everyday life.</w:t>
      </w:r>
      <w:r w:rsidR="0004785B" w:rsidRPr="00DD6227">
        <w:rPr>
          <w:rStyle w:val="FootnoteReference"/>
          <w:rFonts w:asciiTheme="minorHAnsi" w:eastAsiaTheme="minorEastAsia" w:hAnsiTheme="minorHAnsi" w:cstheme="minorHAnsi"/>
          <w:sz w:val="22"/>
          <w:szCs w:val="22"/>
          <w:lang w:val="en-US" w:eastAsia="en-US"/>
        </w:rPr>
        <w:footnoteReference w:id="11"/>
      </w:r>
      <w:r w:rsidR="00480F2D" w:rsidRPr="00DD6227">
        <w:rPr>
          <w:rFonts w:asciiTheme="minorHAnsi" w:eastAsiaTheme="minorEastAsia" w:hAnsiTheme="minorHAnsi" w:cstheme="minorHAnsi"/>
          <w:sz w:val="22"/>
          <w:szCs w:val="22"/>
          <w:lang w:val="en-US" w:eastAsia="en-US"/>
        </w:rPr>
        <w:t xml:space="preserve"> </w:t>
      </w:r>
      <w:r w:rsidR="00E44E0D" w:rsidRPr="00DD6227">
        <w:rPr>
          <w:rFonts w:asciiTheme="minorHAnsi" w:eastAsiaTheme="minorEastAsia" w:hAnsiTheme="minorHAnsi" w:cstheme="minorHAnsi"/>
          <w:sz w:val="22"/>
          <w:szCs w:val="22"/>
          <w:lang w:val="en-US" w:eastAsia="en-US"/>
        </w:rPr>
        <w:t>For example, i</w:t>
      </w:r>
      <w:r w:rsidR="00606D2C" w:rsidRPr="00DD6227">
        <w:rPr>
          <w:rFonts w:asciiTheme="minorHAnsi" w:eastAsiaTheme="minorEastAsia" w:hAnsiTheme="minorHAnsi" w:cstheme="minorHAnsi"/>
          <w:sz w:val="22"/>
          <w:szCs w:val="22"/>
          <w:lang w:val="en-US" w:eastAsia="en-US"/>
        </w:rPr>
        <w:t xml:space="preserve">n </w:t>
      </w:r>
      <w:r w:rsidR="00606D2C" w:rsidRPr="00DD6227">
        <w:rPr>
          <w:rFonts w:asciiTheme="minorHAnsi" w:eastAsiaTheme="minorEastAsia" w:hAnsiTheme="minorHAnsi" w:cstheme="minorHAnsi"/>
          <w:i/>
          <w:iCs/>
          <w:sz w:val="22"/>
          <w:szCs w:val="22"/>
          <w:lang w:val="en-US" w:eastAsia="en-US"/>
        </w:rPr>
        <w:t xml:space="preserve">Commissioner of Pay-roll Tax (Vic) v The </w:t>
      </w:r>
      <w:proofErr w:type="spellStart"/>
      <w:r w:rsidR="00606D2C" w:rsidRPr="00DD6227">
        <w:rPr>
          <w:rFonts w:asciiTheme="minorHAnsi" w:eastAsiaTheme="minorEastAsia" w:hAnsiTheme="minorHAnsi" w:cstheme="minorHAnsi"/>
          <w:i/>
          <w:iCs/>
          <w:sz w:val="22"/>
          <w:szCs w:val="22"/>
          <w:lang w:val="en-US" w:eastAsia="en-US"/>
        </w:rPr>
        <w:t>Cairnmillar</w:t>
      </w:r>
      <w:proofErr w:type="spellEnd"/>
      <w:r w:rsidR="00606D2C" w:rsidRPr="00DD6227">
        <w:rPr>
          <w:rFonts w:asciiTheme="minorHAnsi" w:eastAsiaTheme="minorEastAsia" w:hAnsiTheme="minorHAnsi" w:cstheme="minorHAnsi"/>
          <w:i/>
          <w:iCs/>
          <w:sz w:val="22"/>
          <w:szCs w:val="22"/>
          <w:lang w:val="en-US" w:eastAsia="en-US"/>
        </w:rPr>
        <w:t xml:space="preserve"> Institute</w:t>
      </w:r>
      <w:r w:rsidR="0049339C" w:rsidRPr="00DD6227">
        <w:rPr>
          <w:rFonts w:asciiTheme="minorHAnsi" w:eastAsiaTheme="minorEastAsia" w:hAnsiTheme="minorHAnsi" w:cstheme="minorHAnsi"/>
          <w:i/>
          <w:iCs/>
          <w:sz w:val="22"/>
          <w:szCs w:val="22"/>
          <w:lang w:val="en-US" w:eastAsia="en-US"/>
        </w:rPr>
        <w:t xml:space="preserve"> </w:t>
      </w:r>
      <w:r w:rsidR="0049339C" w:rsidRPr="00DD6227">
        <w:rPr>
          <w:rFonts w:asciiTheme="minorHAnsi" w:eastAsiaTheme="minorEastAsia" w:hAnsiTheme="minorHAnsi" w:cstheme="minorHAnsi"/>
          <w:sz w:val="22"/>
          <w:szCs w:val="22"/>
          <w:lang w:val="en-US" w:eastAsia="en-US"/>
        </w:rPr>
        <w:t>(</w:t>
      </w:r>
      <w:proofErr w:type="spellStart"/>
      <w:r w:rsidR="0049339C" w:rsidRPr="00DD6227">
        <w:rPr>
          <w:rFonts w:asciiTheme="minorHAnsi" w:eastAsiaTheme="minorEastAsia" w:hAnsiTheme="minorHAnsi" w:cstheme="minorHAnsi"/>
          <w:i/>
          <w:iCs/>
          <w:sz w:val="22"/>
          <w:szCs w:val="22"/>
          <w:lang w:val="en-US" w:eastAsia="en-US"/>
        </w:rPr>
        <w:t>Cairnmillar</w:t>
      </w:r>
      <w:proofErr w:type="spellEnd"/>
      <w:r w:rsidR="0049339C" w:rsidRPr="00DD6227">
        <w:rPr>
          <w:rFonts w:asciiTheme="minorHAnsi" w:eastAsiaTheme="minorEastAsia" w:hAnsiTheme="minorHAnsi" w:cstheme="minorHAnsi"/>
          <w:i/>
          <w:iCs/>
          <w:sz w:val="22"/>
          <w:szCs w:val="22"/>
          <w:lang w:val="en-US" w:eastAsia="en-US"/>
        </w:rPr>
        <w:t xml:space="preserve"> Institute</w:t>
      </w:r>
      <w:r w:rsidR="0049339C" w:rsidRPr="00DD6227">
        <w:rPr>
          <w:rFonts w:asciiTheme="minorHAnsi" w:eastAsiaTheme="minorEastAsia" w:hAnsiTheme="minorHAnsi" w:cstheme="minorHAnsi"/>
          <w:sz w:val="22"/>
          <w:szCs w:val="22"/>
          <w:lang w:val="en-US" w:eastAsia="en-US"/>
        </w:rPr>
        <w:t>)</w:t>
      </w:r>
      <w:r w:rsidR="00606D2C" w:rsidRPr="00DD6227">
        <w:rPr>
          <w:rFonts w:asciiTheme="minorHAnsi" w:eastAsiaTheme="minorEastAsia" w:hAnsiTheme="minorHAnsi" w:cstheme="minorHAnsi"/>
          <w:sz w:val="22"/>
          <w:szCs w:val="22"/>
          <w:lang w:val="en-US" w:eastAsia="en-US"/>
        </w:rPr>
        <w:t xml:space="preserve">, </w:t>
      </w:r>
      <w:proofErr w:type="spellStart"/>
      <w:r w:rsidR="00A61A65" w:rsidRPr="00DD6227">
        <w:rPr>
          <w:rFonts w:asciiTheme="minorHAnsi" w:eastAsiaTheme="minorEastAsia" w:hAnsiTheme="minorHAnsi" w:cstheme="minorHAnsi"/>
          <w:sz w:val="22"/>
          <w:szCs w:val="22"/>
          <w:lang w:val="en-US" w:eastAsia="en-US"/>
        </w:rPr>
        <w:t>McGarvie</w:t>
      </w:r>
      <w:proofErr w:type="spellEnd"/>
      <w:r w:rsidR="00A61A65" w:rsidRPr="00DD6227">
        <w:rPr>
          <w:rFonts w:asciiTheme="minorHAnsi" w:eastAsiaTheme="minorEastAsia" w:hAnsiTheme="minorHAnsi" w:cstheme="minorHAnsi"/>
          <w:sz w:val="22"/>
          <w:szCs w:val="22"/>
          <w:lang w:val="en-US" w:eastAsia="en-US"/>
        </w:rPr>
        <w:t xml:space="preserve"> J</w:t>
      </w:r>
      <w:r w:rsidR="00606D2C" w:rsidRPr="00DD6227">
        <w:rPr>
          <w:rFonts w:asciiTheme="minorHAnsi" w:eastAsiaTheme="minorEastAsia" w:hAnsiTheme="minorHAnsi" w:cstheme="minorHAnsi"/>
          <w:sz w:val="22"/>
          <w:szCs w:val="22"/>
          <w:lang w:val="en-US" w:eastAsia="en-US"/>
        </w:rPr>
        <w:t xml:space="preserve"> found that people who have been diagnosed with a mental illness are </w:t>
      </w:r>
      <w:r w:rsidR="00F251CF" w:rsidRPr="00DD6227">
        <w:rPr>
          <w:rFonts w:asciiTheme="minorHAnsi" w:eastAsiaTheme="minorEastAsia" w:hAnsiTheme="minorHAnsi" w:cstheme="minorHAnsi"/>
          <w:sz w:val="22"/>
          <w:szCs w:val="22"/>
          <w:lang w:val="en-US" w:eastAsia="en-US"/>
        </w:rPr>
        <w:t>suffering from distress of such serious</w:t>
      </w:r>
      <w:r w:rsidR="0004785B" w:rsidRPr="00DD6227">
        <w:rPr>
          <w:rFonts w:asciiTheme="minorHAnsi" w:eastAsiaTheme="minorEastAsia" w:hAnsiTheme="minorHAnsi" w:cstheme="minorHAnsi"/>
          <w:sz w:val="22"/>
          <w:szCs w:val="22"/>
          <w:lang w:val="en-US" w:eastAsia="en-US"/>
        </w:rPr>
        <w:t>ness</w:t>
      </w:r>
      <w:r w:rsidR="00F251CF" w:rsidRPr="00DD6227">
        <w:rPr>
          <w:rFonts w:asciiTheme="minorHAnsi" w:eastAsiaTheme="minorEastAsia" w:hAnsiTheme="minorHAnsi" w:cstheme="minorHAnsi"/>
          <w:sz w:val="22"/>
          <w:szCs w:val="22"/>
          <w:lang w:val="en-US" w:eastAsia="en-US"/>
        </w:rPr>
        <w:t xml:space="preserve"> that</w:t>
      </w:r>
      <w:r w:rsidR="00EB6984" w:rsidRPr="00DD6227">
        <w:rPr>
          <w:rFonts w:asciiTheme="minorHAnsi" w:eastAsiaTheme="minorEastAsia" w:hAnsiTheme="minorHAnsi" w:cstheme="minorHAnsi"/>
          <w:sz w:val="22"/>
          <w:szCs w:val="22"/>
          <w:lang w:val="en-US" w:eastAsia="en-US"/>
        </w:rPr>
        <w:t xml:space="preserve"> </w:t>
      </w:r>
      <w:r w:rsidR="008A3E61" w:rsidRPr="00DD6227">
        <w:rPr>
          <w:rFonts w:asciiTheme="minorHAnsi" w:eastAsiaTheme="minorEastAsia" w:hAnsiTheme="minorHAnsi" w:cstheme="minorHAnsi"/>
          <w:sz w:val="22"/>
          <w:szCs w:val="22"/>
          <w:lang w:val="en-US" w:eastAsia="en-US"/>
        </w:rPr>
        <w:t xml:space="preserve">their condition arouses compassion </w:t>
      </w:r>
      <w:r w:rsidR="00F04E88">
        <w:rPr>
          <w:rFonts w:asciiTheme="minorHAnsi" w:eastAsiaTheme="minorEastAsia" w:hAnsiTheme="minorHAnsi" w:cstheme="minorHAnsi"/>
          <w:sz w:val="22"/>
          <w:szCs w:val="22"/>
          <w:lang w:val="en-US" w:eastAsia="en-US"/>
        </w:rPr>
        <w:t>within</w:t>
      </w:r>
      <w:r w:rsidR="00F04E88" w:rsidRPr="00DD6227">
        <w:rPr>
          <w:rFonts w:asciiTheme="minorHAnsi" w:eastAsiaTheme="minorEastAsia" w:hAnsiTheme="minorHAnsi" w:cstheme="minorHAnsi"/>
          <w:sz w:val="22"/>
          <w:szCs w:val="22"/>
          <w:lang w:val="en-US" w:eastAsia="en-US"/>
        </w:rPr>
        <w:t xml:space="preserve"> </w:t>
      </w:r>
      <w:r w:rsidR="008A3E61" w:rsidRPr="00DD6227">
        <w:rPr>
          <w:rFonts w:asciiTheme="minorHAnsi" w:eastAsiaTheme="minorEastAsia" w:hAnsiTheme="minorHAnsi" w:cstheme="minorHAnsi"/>
          <w:sz w:val="22"/>
          <w:szCs w:val="22"/>
          <w:lang w:val="en-US" w:eastAsia="en-US"/>
        </w:rPr>
        <w:t>the community.</w:t>
      </w:r>
      <w:r w:rsidR="001A115D" w:rsidRPr="00DD6227">
        <w:rPr>
          <w:rStyle w:val="FootnoteReference"/>
          <w:rFonts w:asciiTheme="minorHAnsi" w:eastAsiaTheme="minorEastAsia" w:hAnsiTheme="minorHAnsi" w:cstheme="minorHAnsi"/>
          <w:sz w:val="22"/>
          <w:szCs w:val="22"/>
          <w:lang w:val="en-US" w:eastAsia="en-US"/>
        </w:rPr>
        <w:footnoteReference w:id="12"/>
      </w:r>
      <w:r w:rsidR="008A3E61" w:rsidRPr="00DD6227">
        <w:rPr>
          <w:rFonts w:asciiTheme="minorHAnsi" w:eastAsiaTheme="minorEastAsia" w:hAnsiTheme="minorHAnsi" w:cstheme="minorHAnsi"/>
          <w:sz w:val="22"/>
          <w:szCs w:val="22"/>
          <w:lang w:val="en-US" w:eastAsia="en-US"/>
        </w:rPr>
        <w:t xml:space="preserve"> </w:t>
      </w:r>
      <w:proofErr w:type="spellStart"/>
      <w:r w:rsidR="00A61A65" w:rsidRPr="00DD6227">
        <w:rPr>
          <w:rFonts w:asciiTheme="minorHAnsi" w:eastAsiaTheme="minorEastAsia" w:hAnsiTheme="minorHAnsi" w:cstheme="minorHAnsi"/>
          <w:sz w:val="22"/>
          <w:szCs w:val="22"/>
          <w:lang w:val="en-US" w:eastAsia="en-US"/>
        </w:rPr>
        <w:t>McGarvie</w:t>
      </w:r>
      <w:proofErr w:type="spellEnd"/>
      <w:r w:rsidR="00A61A65" w:rsidRPr="00DD6227">
        <w:rPr>
          <w:rFonts w:asciiTheme="minorHAnsi" w:eastAsiaTheme="minorEastAsia" w:hAnsiTheme="minorHAnsi" w:cstheme="minorHAnsi"/>
          <w:sz w:val="22"/>
          <w:szCs w:val="22"/>
          <w:lang w:val="en-US" w:eastAsia="en-US"/>
        </w:rPr>
        <w:t xml:space="preserve"> J</w:t>
      </w:r>
      <w:r w:rsidR="008A3E61" w:rsidRPr="00DD6227">
        <w:rPr>
          <w:rFonts w:asciiTheme="minorHAnsi" w:eastAsiaTheme="minorEastAsia" w:hAnsiTheme="minorHAnsi" w:cstheme="minorHAnsi"/>
          <w:sz w:val="22"/>
          <w:szCs w:val="22"/>
          <w:lang w:val="en-US" w:eastAsia="en-US"/>
        </w:rPr>
        <w:t xml:space="preserve"> went on to find that </w:t>
      </w:r>
      <w:r w:rsidR="009D6FEC" w:rsidRPr="00DD6227">
        <w:rPr>
          <w:rFonts w:asciiTheme="minorHAnsi" w:eastAsiaTheme="minorEastAsia" w:hAnsiTheme="minorHAnsi" w:cstheme="minorHAnsi"/>
          <w:sz w:val="22"/>
          <w:szCs w:val="22"/>
          <w:lang w:val="en-US" w:eastAsia="en-US"/>
        </w:rPr>
        <w:t>the</w:t>
      </w:r>
      <w:r w:rsidR="008A3E61" w:rsidRPr="00DD6227">
        <w:rPr>
          <w:rFonts w:asciiTheme="minorHAnsi" w:eastAsiaTheme="minorEastAsia" w:hAnsiTheme="minorHAnsi" w:cstheme="minorHAnsi"/>
          <w:sz w:val="22"/>
          <w:szCs w:val="22"/>
          <w:lang w:val="en-US" w:eastAsia="en-US"/>
        </w:rPr>
        <w:t xml:space="preserve"> purpose </w:t>
      </w:r>
      <w:r w:rsidR="00C55483" w:rsidRPr="00DD6227">
        <w:rPr>
          <w:rFonts w:asciiTheme="minorHAnsi" w:eastAsiaTheme="minorEastAsia" w:hAnsiTheme="minorHAnsi" w:cstheme="minorHAnsi"/>
          <w:sz w:val="22"/>
          <w:szCs w:val="22"/>
          <w:lang w:val="en-US" w:eastAsia="en-US"/>
        </w:rPr>
        <w:t>of treating</w:t>
      </w:r>
      <w:r w:rsidR="001A115D" w:rsidRPr="00DD6227">
        <w:rPr>
          <w:rFonts w:asciiTheme="minorHAnsi" w:eastAsiaTheme="minorEastAsia" w:hAnsiTheme="minorHAnsi" w:cstheme="minorHAnsi"/>
          <w:sz w:val="22"/>
          <w:szCs w:val="22"/>
          <w:lang w:val="en-US" w:eastAsia="en-US"/>
        </w:rPr>
        <w:t xml:space="preserve"> mental illnesses</w:t>
      </w:r>
      <w:r w:rsidR="00086CB1" w:rsidRPr="00DD6227">
        <w:rPr>
          <w:rFonts w:asciiTheme="minorHAnsi" w:eastAsiaTheme="minorEastAsia" w:hAnsiTheme="minorHAnsi" w:cstheme="minorHAnsi"/>
          <w:sz w:val="22"/>
          <w:szCs w:val="22"/>
          <w:lang w:val="en-US" w:eastAsia="en-US"/>
        </w:rPr>
        <w:t xml:space="preserve"> through psychotherapy</w:t>
      </w:r>
      <w:r w:rsidR="001A115D" w:rsidRPr="00DD6227">
        <w:rPr>
          <w:rFonts w:asciiTheme="minorHAnsi" w:eastAsiaTheme="minorEastAsia" w:hAnsiTheme="minorHAnsi" w:cstheme="minorHAnsi"/>
          <w:sz w:val="22"/>
          <w:szCs w:val="22"/>
          <w:lang w:val="en-US" w:eastAsia="en-US"/>
        </w:rPr>
        <w:t xml:space="preserve"> was a </w:t>
      </w:r>
      <w:r w:rsidR="00F51DC2">
        <w:rPr>
          <w:rFonts w:asciiTheme="minorHAnsi" w:eastAsiaTheme="minorEastAsia" w:hAnsiTheme="minorHAnsi" w:cstheme="minorHAnsi"/>
          <w:sz w:val="22"/>
          <w:szCs w:val="22"/>
          <w:lang w:val="en-US" w:eastAsia="en-US"/>
        </w:rPr>
        <w:t xml:space="preserve">purpose of </w:t>
      </w:r>
      <w:r w:rsidR="009D6FEC" w:rsidRPr="00DD6227">
        <w:rPr>
          <w:rFonts w:asciiTheme="minorHAnsi" w:eastAsiaTheme="minorEastAsia" w:hAnsiTheme="minorHAnsi" w:cstheme="minorHAnsi"/>
          <w:sz w:val="22"/>
          <w:szCs w:val="22"/>
          <w:lang w:val="en-US" w:eastAsia="en-US"/>
        </w:rPr>
        <w:t>benevolent relief</w:t>
      </w:r>
      <w:r w:rsidR="001A115D" w:rsidRPr="00DD6227">
        <w:rPr>
          <w:rFonts w:asciiTheme="minorHAnsi" w:eastAsiaTheme="minorEastAsia" w:hAnsiTheme="minorHAnsi" w:cstheme="minorHAnsi"/>
          <w:sz w:val="22"/>
          <w:szCs w:val="22"/>
          <w:lang w:val="en-US" w:eastAsia="en-US"/>
        </w:rPr>
        <w:t>.</w:t>
      </w:r>
      <w:r w:rsidR="00F50D9E" w:rsidRPr="00DD6227">
        <w:rPr>
          <w:rStyle w:val="FootnoteReference"/>
          <w:rFonts w:asciiTheme="minorHAnsi" w:eastAsiaTheme="minorEastAsia" w:hAnsiTheme="minorHAnsi" w:cstheme="minorHAnsi"/>
          <w:sz w:val="22"/>
          <w:szCs w:val="22"/>
          <w:lang w:val="en-US" w:eastAsia="en-US"/>
        </w:rPr>
        <w:footnoteReference w:id="13"/>
      </w:r>
      <w:r w:rsidR="00BF1626" w:rsidRPr="00DD6227">
        <w:rPr>
          <w:rFonts w:asciiTheme="minorHAnsi" w:eastAsiaTheme="minorEastAsia" w:hAnsiTheme="minorHAnsi" w:cstheme="minorHAnsi"/>
          <w:sz w:val="22"/>
          <w:szCs w:val="22"/>
          <w:lang w:val="en-US" w:eastAsia="en-US"/>
        </w:rPr>
        <w:t xml:space="preserve"> </w:t>
      </w:r>
      <w:r w:rsidR="00FB37D6" w:rsidRPr="00DD6227">
        <w:rPr>
          <w:rFonts w:asciiTheme="minorHAnsi" w:eastAsiaTheme="minorEastAsia" w:hAnsiTheme="minorHAnsi" w:cstheme="minorHAnsi"/>
          <w:sz w:val="22"/>
          <w:szCs w:val="22"/>
          <w:lang w:val="en-US" w:eastAsia="en-US"/>
        </w:rPr>
        <w:t xml:space="preserve"> </w:t>
      </w:r>
    </w:p>
    <w:p w14:paraId="50F88960" w14:textId="50598B63" w:rsidR="0061061D" w:rsidRPr="00DD6227" w:rsidRDefault="00DE1335"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lastRenderedPageBreak/>
        <w:t xml:space="preserve">It is not necessary that people </w:t>
      </w:r>
      <w:r w:rsidR="00CF0D6A">
        <w:rPr>
          <w:rFonts w:asciiTheme="minorHAnsi" w:eastAsiaTheme="minorEastAsia" w:hAnsiTheme="minorHAnsi" w:cstheme="minorHAnsi"/>
          <w:sz w:val="22"/>
          <w:szCs w:val="22"/>
          <w:lang w:val="en-US" w:eastAsia="en-US"/>
        </w:rPr>
        <w:t>with</w:t>
      </w:r>
      <w:r w:rsidRPr="00DD6227">
        <w:rPr>
          <w:rFonts w:asciiTheme="minorHAnsi" w:eastAsiaTheme="minorEastAsia" w:hAnsiTheme="minorHAnsi" w:cstheme="minorHAnsi"/>
          <w:sz w:val="22"/>
          <w:szCs w:val="22"/>
          <w:lang w:val="en-US" w:eastAsia="en-US"/>
        </w:rPr>
        <w:t xml:space="preserve"> </w:t>
      </w:r>
      <w:r w:rsidR="00B3693D" w:rsidRPr="00DD6227">
        <w:rPr>
          <w:rFonts w:asciiTheme="minorHAnsi" w:eastAsiaTheme="minorEastAsia" w:hAnsiTheme="minorHAnsi" w:cstheme="minorHAnsi"/>
          <w:sz w:val="22"/>
          <w:szCs w:val="22"/>
          <w:lang w:val="en-US" w:eastAsia="en-US"/>
        </w:rPr>
        <w:t xml:space="preserve">conditions </w:t>
      </w:r>
      <w:r w:rsidR="00CF0D6A">
        <w:rPr>
          <w:rFonts w:asciiTheme="minorHAnsi" w:eastAsiaTheme="minorEastAsia" w:hAnsiTheme="minorHAnsi" w:cstheme="minorHAnsi"/>
          <w:sz w:val="22"/>
          <w:szCs w:val="22"/>
          <w:lang w:val="en-US" w:eastAsia="en-US"/>
        </w:rPr>
        <w:t>that</w:t>
      </w:r>
      <w:r w:rsidR="00CF0D6A" w:rsidRPr="00DD6227">
        <w:rPr>
          <w:rFonts w:asciiTheme="minorHAnsi" w:eastAsiaTheme="minorEastAsia" w:hAnsiTheme="minorHAnsi" w:cstheme="minorHAnsi"/>
          <w:sz w:val="22"/>
          <w:szCs w:val="22"/>
          <w:lang w:val="en-US" w:eastAsia="en-US"/>
        </w:rPr>
        <w:t xml:space="preserve"> </w:t>
      </w:r>
      <w:r w:rsidR="00B3693D" w:rsidRPr="00DD6227">
        <w:rPr>
          <w:rFonts w:asciiTheme="minorHAnsi" w:eastAsiaTheme="minorEastAsia" w:hAnsiTheme="minorHAnsi" w:cstheme="minorHAnsi"/>
          <w:sz w:val="22"/>
          <w:szCs w:val="22"/>
          <w:lang w:val="en-US" w:eastAsia="en-US"/>
        </w:rPr>
        <w:t>need benevolent relief</w:t>
      </w:r>
      <w:r w:rsidRPr="00DD6227">
        <w:rPr>
          <w:rFonts w:asciiTheme="minorHAnsi" w:eastAsiaTheme="minorEastAsia" w:hAnsiTheme="minorHAnsi" w:cstheme="minorHAnsi"/>
          <w:sz w:val="22"/>
          <w:szCs w:val="22"/>
          <w:lang w:val="en-US" w:eastAsia="en-US"/>
        </w:rPr>
        <w:t xml:space="preserve"> must also be in poverty. </w:t>
      </w:r>
      <w:r w:rsidR="0061061D" w:rsidRPr="00DD6227">
        <w:rPr>
          <w:rFonts w:asciiTheme="minorHAnsi" w:eastAsiaTheme="minorEastAsia" w:hAnsiTheme="minorHAnsi" w:cstheme="minorHAnsi"/>
          <w:sz w:val="22"/>
          <w:szCs w:val="22"/>
          <w:lang w:val="en-US" w:eastAsia="en-US"/>
        </w:rPr>
        <w:t xml:space="preserve">In </w:t>
      </w:r>
      <w:proofErr w:type="spellStart"/>
      <w:r w:rsidR="0061061D" w:rsidRPr="00DD6227">
        <w:rPr>
          <w:rFonts w:asciiTheme="minorHAnsi" w:eastAsiaTheme="minorEastAsia" w:hAnsiTheme="minorHAnsi" w:cstheme="minorHAnsi"/>
          <w:i/>
          <w:iCs/>
          <w:sz w:val="22"/>
          <w:szCs w:val="22"/>
          <w:lang w:val="en-US" w:eastAsia="en-US"/>
        </w:rPr>
        <w:t>Cairnmillar</w:t>
      </w:r>
      <w:proofErr w:type="spellEnd"/>
      <w:r w:rsidR="0061061D" w:rsidRPr="00DD6227">
        <w:rPr>
          <w:rFonts w:asciiTheme="minorHAnsi" w:eastAsiaTheme="minorEastAsia" w:hAnsiTheme="minorHAnsi" w:cstheme="minorHAnsi"/>
          <w:i/>
          <w:iCs/>
          <w:sz w:val="22"/>
          <w:szCs w:val="22"/>
          <w:lang w:val="en-US" w:eastAsia="en-US"/>
        </w:rPr>
        <w:t xml:space="preserve"> Institute</w:t>
      </w:r>
      <w:r w:rsidR="0061061D" w:rsidRPr="00DD6227">
        <w:rPr>
          <w:rFonts w:asciiTheme="minorHAnsi" w:eastAsiaTheme="minorEastAsia" w:hAnsiTheme="minorHAnsi" w:cstheme="minorHAnsi"/>
          <w:sz w:val="22"/>
          <w:szCs w:val="22"/>
          <w:lang w:val="en-US" w:eastAsia="en-US"/>
        </w:rPr>
        <w:t xml:space="preserve">, </w:t>
      </w:r>
      <w:proofErr w:type="spellStart"/>
      <w:r w:rsidR="0061061D" w:rsidRPr="00DD6227">
        <w:rPr>
          <w:rFonts w:asciiTheme="minorHAnsi" w:eastAsiaTheme="minorEastAsia" w:hAnsiTheme="minorHAnsi" w:cstheme="minorHAnsi"/>
          <w:sz w:val="22"/>
          <w:szCs w:val="22"/>
          <w:lang w:val="en-US" w:eastAsia="en-US"/>
        </w:rPr>
        <w:t>McGarvie</w:t>
      </w:r>
      <w:proofErr w:type="spellEnd"/>
      <w:r w:rsidR="0061061D" w:rsidRPr="00DD6227">
        <w:rPr>
          <w:rFonts w:asciiTheme="minorHAnsi" w:eastAsiaTheme="minorEastAsia" w:hAnsiTheme="minorHAnsi" w:cstheme="minorHAnsi"/>
          <w:sz w:val="22"/>
          <w:szCs w:val="22"/>
          <w:lang w:val="en-US" w:eastAsia="en-US"/>
        </w:rPr>
        <w:t xml:space="preserve"> J</w:t>
      </w:r>
      <w:r w:rsidR="003D7DEE" w:rsidRPr="00DD6227">
        <w:rPr>
          <w:rFonts w:asciiTheme="minorHAnsi" w:eastAsiaTheme="minorEastAsia" w:hAnsiTheme="minorHAnsi" w:cstheme="minorHAnsi"/>
          <w:sz w:val="22"/>
          <w:szCs w:val="22"/>
          <w:lang w:val="en-US" w:eastAsia="en-US"/>
        </w:rPr>
        <w:t xml:space="preserve"> described </w:t>
      </w:r>
      <w:r w:rsidR="008F4A53" w:rsidRPr="00DD6227">
        <w:rPr>
          <w:rFonts w:asciiTheme="minorHAnsi" w:eastAsiaTheme="minorEastAsia" w:hAnsiTheme="minorHAnsi" w:cstheme="minorHAnsi"/>
          <w:sz w:val="22"/>
          <w:szCs w:val="22"/>
          <w:lang w:val="en-US" w:eastAsia="en-US"/>
        </w:rPr>
        <w:t>the beneficiaries of a PBI in the following way:</w:t>
      </w:r>
    </w:p>
    <w:p w14:paraId="449088E2" w14:textId="53B92A01" w:rsidR="008F4A53" w:rsidRPr="00DD6227" w:rsidRDefault="008F4A53" w:rsidP="008F4A53">
      <w:pPr>
        <w:pStyle w:val="ListParagraph"/>
        <w:spacing w:before="120" w:after="120" w:line="276" w:lineRule="auto"/>
        <w:ind w:left="1440"/>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The plight of such persons is sufficiently serious to arouse pity or compassion within the community and they are regarded as in need of benevolent relief. While in that sense they may be described</w:t>
      </w:r>
      <w:r w:rsidR="00DE1335" w:rsidRPr="00DD6227">
        <w:rPr>
          <w:rFonts w:asciiTheme="minorHAnsi" w:eastAsiaTheme="minorEastAsia" w:hAnsiTheme="minorHAnsi" w:cstheme="minorHAnsi"/>
          <w:sz w:val="22"/>
          <w:szCs w:val="22"/>
          <w:lang w:val="en-US" w:eastAsia="en-US"/>
        </w:rPr>
        <w:t xml:space="preserve"> as “needy” it is not necessary that their need be financial need. Their need for benevolence</w:t>
      </w:r>
      <w:r w:rsidR="00CD0950" w:rsidRPr="00DD6227">
        <w:rPr>
          <w:rFonts w:asciiTheme="minorHAnsi" w:eastAsiaTheme="minorEastAsia" w:hAnsiTheme="minorHAnsi" w:cstheme="minorHAnsi"/>
          <w:sz w:val="22"/>
          <w:szCs w:val="22"/>
          <w:lang w:val="en-US" w:eastAsia="en-US"/>
        </w:rPr>
        <w:t xml:space="preserve"> might arise from poverty but it might arise from sickness, suffering, helplessness or other distress or misfortune. Relief given to those suffering distress or misfortune </w:t>
      </w:r>
      <w:r w:rsidR="000C38BA" w:rsidRPr="00DD6227">
        <w:rPr>
          <w:rFonts w:asciiTheme="minorHAnsi" w:eastAsiaTheme="minorEastAsia" w:hAnsiTheme="minorHAnsi" w:cstheme="minorHAnsi"/>
          <w:sz w:val="22"/>
          <w:szCs w:val="22"/>
          <w:lang w:val="en-US" w:eastAsia="en-US"/>
        </w:rPr>
        <w:t>through causes other than poverty falls within the concept of benevolence.</w:t>
      </w:r>
      <w:r w:rsidR="00F51430" w:rsidRPr="00DD6227">
        <w:rPr>
          <w:rStyle w:val="FootnoteReference"/>
          <w:rFonts w:asciiTheme="minorHAnsi" w:eastAsiaTheme="minorEastAsia" w:hAnsiTheme="minorHAnsi" w:cstheme="minorHAnsi"/>
          <w:sz w:val="22"/>
          <w:szCs w:val="22"/>
          <w:lang w:val="en-US" w:eastAsia="en-US"/>
        </w:rPr>
        <w:footnoteReference w:id="14"/>
      </w:r>
      <w:r w:rsidR="000C38BA" w:rsidRPr="00DD6227">
        <w:rPr>
          <w:rFonts w:asciiTheme="minorHAnsi" w:eastAsiaTheme="minorEastAsia" w:hAnsiTheme="minorHAnsi" w:cstheme="minorHAnsi"/>
          <w:sz w:val="22"/>
          <w:szCs w:val="22"/>
          <w:lang w:val="en-US" w:eastAsia="en-US"/>
        </w:rPr>
        <w:t xml:space="preserve"> </w:t>
      </w:r>
    </w:p>
    <w:p w14:paraId="018D450E" w14:textId="3E8358DA" w:rsidR="0057430F" w:rsidRPr="00DD6227" w:rsidRDefault="00CE21FB" w:rsidP="001E13B1">
      <w:pPr>
        <w:spacing w:before="120" w:after="120" w:line="276" w:lineRule="auto"/>
        <w:ind w:firstLine="993"/>
        <w:textAlignment w:val="baseline"/>
        <w:rPr>
          <w:rFonts w:asciiTheme="minorHAnsi" w:eastAsiaTheme="minorEastAsia" w:hAnsiTheme="minorHAnsi" w:cstheme="minorHAnsi"/>
          <w:sz w:val="22"/>
          <w:szCs w:val="22"/>
          <w:u w:val="single"/>
          <w:lang w:val="en-US" w:eastAsia="en-US"/>
        </w:rPr>
      </w:pPr>
      <w:r>
        <w:rPr>
          <w:rFonts w:asciiTheme="minorHAnsi" w:eastAsiaTheme="minorEastAsia" w:hAnsiTheme="minorHAnsi" w:cstheme="minorHAnsi"/>
          <w:sz w:val="22"/>
          <w:szCs w:val="22"/>
          <w:u w:val="single"/>
          <w:lang w:val="en-US" w:eastAsia="en-US"/>
        </w:rPr>
        <w:t xml:space="preserve">Demonstrating a </w:t>
      </w:r>
      <w:r w:rsidR="00E478B9">
        <w:rPr>
          <w:rFonts w:asciiTheme="minorHAnsi" w:eastAsiaTheme="minorEastAsia" w:hAnsiTheme="minorHAnsi" w:cstheme="minorHAnsi"/>
          <w:sz w:val="22"/>
          <w:szCs w:val="22"/>
          <w:u w:val="single"/>
          <w:lang w:val="en-US" w:eastAsia="en-US"/>
        </w:rPr>
        <w:t xml:space="preserve">purpose of </w:t>
      </w:r>
      <w:r>
        <w:rPr>
          <w:rFonts w:asciiTheme="minorHAnsi" w:eastAsiaTheme="minorEastAsia" w:hAnsiTheme="minorHAnsi" w:cstheme="minorHAnsi"/>
          <w:sz w:val="22"/>
          <w:szCs w:val="22"/>
          <w:u w:val="single"/>
          <w:lang w:val="en-US" w:eastAsia="en-US"/>
        </w:rPr>
        <w:t xml:space="preserve">benevolent relief </w:t>
      </w:r>
    </w:p>
    <w:p w14:paraId="353130B7" w14:textId="404C4509" w:rsidR="00242A43" w:rsidRPr="00DD6227" w:rsidRDefault="00017394" w:rsidP="00985154">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A charity can </w:t>
      </w:r>
      <w:r w:rsidR="00284F87">
        <w:rPr>
          <w:rFonts w:asciiTheme="minorHAnsi" w:eastAsiaTheme="minorEastAsia" w:hAnsiTheme="minorHAnsi" w:cstheme="minorHAnsi"/>
          <w:sz w:val="22"/>
          <w:szCs w:val="22"/>
          <w:lang w:val="en-US" w:eastAsia="en-US"/>
        </w:rPr>
        <w:t xml:space="preserve">choose how it furthers its </w:t>
      </w:r>
      <w:r w:rsidR="009B360F">
        <w:rPr>
          <w:rFonts w:asciiTheme="minorHAnsi" w:eastAsiaTheme="minorEastAsia" w:hAnsiTheme="minorHAnsi" w:cstheme="minorHAnsi"/>
          <w:sz w:val="22"/>
          <w:szCs w:val="22"/>
          <w:lang w:val="en-US" w:eastAsia="en-US"/>
        </w:rPr>
        <w:t xml:space="preserve">purpose of </w:t>
      </w:r>
      <w:r w:rsidR="00284F87">
        <w:rPr>
          <w:rFonts w:asciiTheme="minorHAnsi" w:eastAsiaTheme="minorEastAsia" w:hAnsiTheme="minorHAnsi" w:cstheme="minorHAnsi"/>
          <w:sz w:val="22"/>
          <w:szCs w:val="22"/>
          <w:lang w:val="en-US" w:eastAsia="en-US"/>
        </w:rPr>
        <w:t>benevolent relief</w:t>
      </w:r>
      <w:r w:rsidR="001E70CD" w:rsidRPr="00DD6227">
        <w:rPr>
          <w:rFonts w:asciiTheme="minorHAnsi" w:eastAsiaTheme="minorEastAsia" w:hAnsiTheme="minorHAnsi" w:cstheme="minorHAnsi"/>
          <w:sz w:val="22"/>
          <w:szCs w:val="22"/>
          <w:lang w:val="en-US" w:eastAsia="en-US"/>
        </w:rPr>
        <w:t xml:space="preserve">. </w:t>
      </w:r>
      <w:r w:rsidR="009B360F">
        <w:rPr>
          <w:rFonts w:asciiTheme="minorHAnsi" w:eastAsiaTheme="minorEastAsia" w:hAnsiTheme="minorHAnsi" w:cstheme="minorHAnsi"/>
          <w:sz w:val="22"/>
          <w:szCs w:val="22"/>
          <w:lang w:val="en-US" w:eastAsia="en-US"/>
        </w:rPr>
        <w:t>It</w:t>
      </w:r>
      <w:r w:rsidR="00CF02ED" w:rsidRPr="00DD6227">
        <w:rPr>
          <w:rFonts w:asciiTheme="minorHAnsi" w:eastAsiaTheme="minorEastAsia" w:hAnsiTheme="minorHAnsi" w:cstheme="minorHAnsi"/>
          <w:sz w:val="22"/>
          <w:szCs w:val="22"/>
          <w:lang w:val="en-US" w:eastAsia="en-US"/>
        </w:rPr>
        <w:t xml:space="preserve"> does not need to prove that its activities are effectiv</w:t>
      </w:r>
      <w:r w:rsidR="00952ED5" w:rsidRPr="00DD6227">
        <w:rPr>
          <w:rFonts w:asciiTheme="minorHAnsi" w:eastAsiaTheme="minorEastAsia" w:hAnsiTheme="minorHAnsi" w:cstheme="minorHAnsi"/>
          <w:sz w:val="22"/>
          <w:szCs w:val="22"/>
          <w:lang w:val="en-US" w:eastAsia="en-US"/>
        </w:rPr>
        <w:t>e at providing relief</w:t>
      </w:r>
      <w:r w:rsidR="00975655">
        <w:rPr>
          <w:rFonts w:asciiTheme="minorHAnsi" w:eastAsiaTheme="minorEastAsia" w:hAnsiTheme="minorHAnsi" w:cstheme="minorHAnsi"/>
          <w:sz w:val="22"/>
          <w:szCs w:val="22"/>
          <w:lang w:val="en-US" w:eastAsia="en-US"/>
        </w:rPr>
        <w:t>.</w:t>
      </w:r>
      <w:r w:rsidR="0043355B">
        <w:rPr>
          <w:rFonts w:asciiTheme="minorHAnsi" w:eastAsiaTheme="minorEastAsia" w:hAnsiTheme="minorHAnsi" w:cstheme="minorHAnsi"/>
          <w:sz w:val="22"/>
          <w:szCs w:val="22"/>
          <w:lang w:val="en-US" w:eastAsia="en-US"/>
        </w:rPr>
        <w:t xml:space="preserve"> Rather,</w:t>
      </w:r>
      <w:r w:rsidR="00975655">
        <w:rPr>
          <w:rFonts w:asciiTheme="minorHAnsi" w:eastAsiaTheme="minorEastAsia" w:hAnsiTheme="minorHAnsi" w:cstheme="minorHAnsi"/>
          <w:sz w:val="22"/>
          <w:szCs w:val="22"/>
          <w:lang w:val="en-US" w:eastAsia="en-US"/>
        </w:rPr>
        <w:t xml:space="preserve"> </w:t>
      </w:r>
      <w:r w:rsidR="009B360F">
        <w:rPr>
          <w:rFonts w:asciiTheme="minorHAnsi" w:eastAsiaTheme="minorEastAsia" w:hAnsiTheme="minorHAnsi" w:cstheme="minorHAnsi"/>
          <w:sz w:val="22"/>
          <w:szCs w:val="22"/>
          <w:lang w:val="en-US" w:eastAsia="en-US"/>
        </w:rPr>
        <w:t>it</w:t>
      </w:r>
      <w:r w:rsidR="00975655">
        <w:rPr>
          <w:rFonts w:asciiTheme="minorHAnsi" w:eastAsiaTheme="minorEastAsia" w:hAnsiTheme="minorHAnsi" w:cstheme="minorHAnsi"/>
          <w:sz w:val="22"/>
          <w:szCs w:val="22"/>
          <w:lang w:val="en-US" w:eastAsia="en-US"/>
        </w:rPr>
        <w:t xml:space="preserve"> needs to show that</w:t>
      </w:r>
      <w:r w:rsidR="00952ED5" w:rsidRPr="00DD6227">
        <w:rPr>
          <w:rFonts w:asciiTheme="minorHAnsi" w:eastAsiaTheme="minorEastAsia" w:hAnsiTheme="minorHAnsi" w:cstheme="minorHAnsi"/>
          <w:sz w:val="22"/>
          <w:szCs w:val="22"/>
          <w:lang w:val="en-US" w:eastAsia="en-US"/>
        </w:rPr>
        <w:t xml:space="preserve"> there is a </w:t>
      </w:r>
      <w:r w:rsidR="00842C7D" w:rsidRPr="00DD6227">
        <w:rPr>
          <w:rFonts w:asciiTheme="minorHAnsi" w:eastAsiaTheme="minorEastAsia" w:hAnsiTheme="minorHAnsi" w:cstheme="minorHAnsi"/>
          <w:sz w:val="22"/>
          <w:szCs w:val="22"/>
          <w:lang w:val="en-US" w:eastAsia="en-US"/>
        </w:rPr>
        <w:t xml:space="preserve">clear </w:t>
      </w:r>
      <w:r w:rsidR="00952ED5" w:rsidRPr="00DD6227">
        <w:rPr>
          <w:rFonts w:asciiTheme="minorHAnsi" w:eastAsiaTheme="minorEastAsia" w:hAnsiTheme="minorHAnsi" w:cstheme="minorHAnsi"/>
          <w:sz w:val="22"/>
          <w:szCs w:val="22"/>
          <w:lang w:val="en-US" w:eastAsia="en-US"/>
        </w:rPr>
        <w:t xml:space="preserve">connection between </w:t>
      </w:r>
      <w:r w:rsidR="00252226">
        <w:rPr>
          <w:rFonts w:asciiTheme="minorHAnsi" w:eastAsiaTheme="minorEastAsia" w:hAnsiTheme="minorHAnsi" w:cstheme="minorHAnsi"/>
          <w:sz w:val="22"/>
          <w:szCs w:val="22"/>
          <w:lang w:val="en-US" w:eastAsia="en-US"/>
        </w:rPr>
        <w:t>it</w:t>
      </w:r>
      <w:r w:rsidR="00842C7D" w:rsidRPr="00DD6227">
        <w:rPr>
          <w:rFonts w:asciiTheme="minorHAnsi" w:eastAsiaTheme="minorEastAsia" w:hAnsiTheme="minorHAnsi" w:cstheme="minorHAnsi"/>
          <w:sz w:val="22"/>
          <w:szCs w:val="22"/>
          <w:lang w:val="en-US" w:eastAsia="en-US"/>
        </w:rPr>
        <w:t>s</w:t>
      </w:r>
      <w:r w:rsidR="00952ED5" w:rsidRPr="00DD6227">
        <w:rPr>
          <w:rFonts w:asciiTheme="minorHAnsi" w:eastAsiaTheme="minorEastAsia" w:hAnsiTheme="minorHAnsi" w:cstheme="minorHAnsi"/>
          <w:sz w:val="22"/>
          <w:szCs w:val="22"/>
          <w:lang w:val="en-US" w:eastAsia="en-US"/>
        </w:rPr>
        <w:t xml:space="preserve"> activit</w:t>
      </w:r>
      <w:r w:rsidR="00B23D71">
        <w:rPr>
          <w:rFonts w:asciiTheme="minorHAnsi" w:eastAsiaTheme="minorEastAsia" w:hAnsiTheme="minorHAnsi" w:cstheme="minorHAnsi"/>
          <w:sz w:val="22"/>
          <w:szCs w:val="22"/>
          <w:lang w:val="en-US" w:eastAsia="en-US"/>
        </w:rPr>
        <w:t>ies to achieve its purpose</w:t>
      </w:r>
      <w:r w:rsidR="00952ED5" w:rsidRPr="00DD6227">
        <w:rPr>
          <w:rFonts w:asciiTheme="minorHAnsi" w:eastAsiaTheme="minorEastAsia" w:hAnsiTheme="minorHAnsi" w:cstheme="minorHAnsi"/>
          <w:sz w:val="22"/>
          <w:szCs w:val="22"/>
          <w:lang w:val="en-US" w:eastAsia="en-US"/>
        </w:rPr>
        <w:t xml:space="preserve"> and the relief.</w:t>
      </w:r>
      <w:r w:rsidR="00F07FE4" w:rsidRPr="00DD6227">
        <w:rPr>
          <w:rStyle w:val="FootnoteReference"/>
          <w:rFonts w:asciiTheme="minorHAnsi" w:eastAsiaTheme="minorEastAsia" w:hAnsiTheme="minorHAnsi" w:cstheme="minorHAnsi"/>
          <w:sz w:val="22"/>
          <w:szCs w:val="22"/>
          <w:lang w:val="en-US" w:eastAsia="en-US"/>
        </w:rPr>
        <w:footnoteReference w:id="15"/>
      </w:r>
      <w:r w:rsidR="00842C7D" w:rsidRPr="00DD6227">
        <w:rPr>
          <w:rFonts w:asciiTheme="minorHAnsi" w:eastAsiaTheme="minorEastAsia" w:hAnsiTheme="minorHAnsi" w:cstheme="minorHAnsi"/>
          <w:sz w:val="22"/>
          <w:szCs w:val="22"/>
          <w:lang w:val="en-US" w:eastAsia="en-US"/>
        </w:rPr>
        <w:t xml:space="preserve"> </w:t>
      </w:r>
      <w:r w:rsidR="00B7023D">
        <w:rPr>
          <w:rFonts w:asciiTheme="minorHAnsi" w:eastAsiaTheme="minorEastAsia" w:hAnsiTheme="minorHAnsi" w:cstheme="minorHAnsi"/>
          <w:sz w:val="22"/>
          <w:szCs w:val="22"/>
          <w:lang w:val="en-US" w:eastAsia="en-US"/>
        </w:rPr>
        <w:t xml:space="preserve">This </w:t>
      </w:r>
      <w:r w:rsidR="009B360F">
        <w:rPr>
          <w:rFonts w:asciiTheme="minorHAnsi" w:eastAsiaTheme="minorEastAsia" w:hAnsiTheme="minorHAnsi" w:cstheme="minorHAnsi"/>
          <w:sz w:val="22"/>
          <w:szCs w:val="22"/>
          <w:lang w:val="en-US" w:eastAsia="en-US"/>
        </w:rPr>
        <w:t xml:space="preserve">is </w:t>
      </w:r>
      <w:r w:rsidR="0043355B">
        <w:rPr>
          <w:rFonts w:asciiTheme="minorHAnsi" w:eastAsiaTheme="minorEastAsia" w:hAnsiTheme="minorHAnsi" w:cstheme="minorHAnsi"/>
          <w:sz w:val="22"/>
          <w:szCs w:val="22"/>
          <w:lang w:val="en-US" w:eastAsia="en-US"/>
        </w:rPr>
        <w:t>straightfor</w:t>
      </w:r>
      <w:r w:rsidR="00B334E7">
        <w:rPr>
          <w:rFonts w:asciiTheme="minorHAnsi" w:eastAsiaTheme="minorEastAsia" w:hAnsiTheme="minorHAnsi" w:cstheme="minorHAnsi"/>
          <w:sz w:val="22"/>
          <w:szCs w:val="22"/>
          <w:lang w:val="en-US" w:eastAsia="en-US"/>
        </w:rPr>
        <w:t>ward</w:t>
      </w:r>
      <w:r w:rsidR="00B7023D">
        <w:rPr>
          <w:rFonts w:asciiTheme="minorHAnsi" w:eastAsiaTheme="minorEastAsia" w:hAnsiTheme="minorHAnsi" w:cstheme="minorHAnsi"/>
          <w:sz w:val="22"/>
          <w:szCs w:val="22"/>
          <w:lang w:val="en-US" w:eastAsia="en-US"/>
        </w:rPr>
        <w:t xml:space="preserve"> </w:t>
      </w:r>
      <w:r w:rsidR="00975655">
        <w:rPr>
          <w:rFonts w:asciiTheme="minorHAnsi" w:eastAsiaTheme="minorEastAsia" w:hAnsiTheme="minorHAnsi" w:cstheme="minorHAnsi"/>
          <w:sz w:val="22"/>
          <w:szCs w:val="22"/>
          <w:lang w:val="en-US" w:eastAsia="en-US"/>
        </w:rPr>
        <w:t>if the charity provides relief to its beneficiaries directly</w:t>
      </w:r>
      <w:r w:rsidR="003425AA">
        <w:rPr>
          <w:rFonts w:asciiTheme="minorHAnsi" w:eastAsiaTheme="minorEastAsia" w:hAnsiTheme="minorHAnsi" w:cstheme="minorHAnsi"/>
          <w:sz w:val="22"/>
          <w:szCs w:val="22"/>
          <w:lang w:val="en-US" w:eastAsia="en-US"/>
        </w:rPr>
        <w:t xml:space="preserve">. </w:t>
      </w:r>
      <w:r w:rsidR="00042FFB">
        <w:rPr>
          <w:rFonts w:asciiTheme="minorHAnsi" w:eastAsiaTheme="minorEastAsia" w:hAnsiTheme="minorHAnsi" w:cstheme="minorHAnsi"/>
          <w:sz w:val="22"/>
          <w:szCs w:val="22"/>
          <w:lang w:val="en-US" w:eastAsia="en-US"/>
        </w:rPr>
        <w:t>However, charities can still have</w:t>
      </w:r>
      <w:r w:rsidR="004D74C4">
        <w:rPr>
          <w:rFonts w:asciiTheme="minorHAnsi" w:eastAsiaTheme="minorEastAsia" w:hAnsiTheme="minorHAnsi" w:cstheme="minorHAnsi"/>
          <w:sz w:val="22"/>
          <w:szCs w:val="22"/>
          <w:lang w:val="en-US" w:eastAsia="en-US"/>
        </w:rPr>
        <w:t xml:space="preserve"> a </w:t>
      </w:r>
      <w:r w:rsidR="009B360F">
        <w:rPr>
          <w:rFonts w:asciiTheme="minorHAnsi" w:eastAsiaTheme="minorEastAsia" w:hAnsiTheme="minorHAnsi" w:cstheme="minorHAnsi"/>
          <w:sz w:val="22"/>
          <w:szCs w:val="22"/>
          <w:lang w:val="en-US" w:eastAsia="en-US"/>
        </w:rPr>
        <w:t xml:space="preserve">purpose of </w:t>
      </w:r>
      <w:r w:rsidR="004D74C4">
        <w:rPr>
          <w:rFonts w:asciiTheme="minorHAnsi" w:eastAsiaTheme="minorEastAsia" w:hAnsiTheme="minorHAnsi" w:cstheme="minorHAnsi"/>
          <w:sz w:val="22"/>
          <w:szCs w:val="22"/>
          <w:lang w:val="en-US" w:eastAsia="en-US"/>
        </w:rPr>
        <w:t xml:space="preserve">benevolent relief </w:t>
      </w:r>
      <w:r w:rsidR="009B360F">
        <w:rPr>
          <w:rFonts w:asciiTheme="minorHAnsi" w:eastAsiaTheme="minorEastAsia" w:hAnsiTheme="minorHAnsi" w:cstheme="minorHAnsi"/>
          <w:sz w:val="22"/>
          <w:szCs w:val="22"/>
          <w:lang w:val="en-US" w:eastAsia="en-US"/>
        </w:rPr>
        <w:t>by</w:t>
      </w:r>
      <w:r w:rsidR="004D74C4">
        <w:rPr>
          <w:rFonts w:asciiTheme="minorHAnsi" w:eastAsiaTheme="minorEastAsia" w:hAnsiTheme="minorHAnsi" w:cstheme="minorHAnsi"/>
          <w:sz w:val="22"/>
          <w:szCs w:val="22"/>
          <w:lang w:val="en-US" w:eastAsia="en-US"/>
        </w:rPr>
        <w:t xml:space="preserve"> providing relief indirectly.</w:t>
      </w:r>
      <w:r w:rsidR="009E5051">
        <w:rPr>
          <w:rStyle w:val="FootnoteReference"/>
          <w:rFonts w:asciiTheme="minorHAnsi" w:eastAsiaTheme="minorEastAsia" w:hAnsiTheme="minorHAnsi" w:cstheme="minorHAnsi"/>
          <w:sz w:val="22"/>
          <w:szCs w:val="22"/>
          <w:lang w:val="en-US" w:eastAsia="en-US"/>
        </w:rPr>
        <w:footnoteReference w:id="16"/>
      </w:r>
      <w:r w:rsidR="00B7023D">
        <w:rPr>
          <w:rFonts w:asciiTheme="minorHAnsi" w:eastAsiaTheme="minorEastAsia" w:hAnsiTheme="minorHAnsi" w:cstheme="minorHAnsi"/>
          <w:sz w:val="22"/>
          <w:szCs w:val="22"/>
          <w:lang w:val="en-US" w:eastAsia="en-US"/>
        </w:rPr>
        <w:t xml:space="preserve"> </w:t>
      </w:r>
    </w:p>
    <w:p w14:paraId="239CA803" w14:textId="2318E58B" w:rsidR="000F04A4" w:rsidRPr="00DD6227" w:rsidRDefault="000F04A4" w:rsidP="000F04A4">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For example, in </w:t>
      </w:r>
      <w:r w:rsidRPr="00DD6227">
        <w:rPr>
          <w:rFonts w:asciiTheme="minorHAnsi" w:eastAsiaTheme="minorEastAsia" w:hAnsiTheme="minorHAnsi" w:cstheme="minorHAnsi"/>
          <w:i/>
          <w:iCs/>
          <w:sz w:val="22"/>
          <w:szCs w:val="22"/>
          <w:lang w:val="en-US" w:eastAsia="en-US"/>
        </w:rPr>
        <w:t>Hunger Project Australia v Commissioner of Payroll Tax</w:t>
      </w:r>
      <w:r w:rsidRPr="00DD6227">
        <w:rPr>
          <w:rFonts w:asciiTheme="minorHAnsi" w:eastAsiaTheme="minorEastAsia" w:hAnsiTheme="minorHAnsi" w:cstheme="minorHAnsi"/>
          <w:sz w:val="22"/>
          <w:szCs w:val="22"/>
          <w:lang w:val="en-US" w:eastAsia="en-US"/>
        </w:rPr>
        <w:t>,</w:t>
      </w:r>
      <w:r>
        <w:rPr>
          <w:rStyle w:val="FootnoteReference"/>
          <w:rFonts w:asciiTheme="minorHAnsi" w:eastAsiaTheme="minorEastAsia" w:hAnsiTheme="minorHAnsi" w:cstheme="minorHAnsi"/>
          <w:sz w:val="22"/>
          <w:szCs w:val="22"/>
          <w:lang w:val="en-US" w:eastAsia="en-US"/>
        </w:rPr>
        <w:footnoteReference w:id="17"/>
      </w:r>
      <w:r w:rsidRPr="00DD6227">
        <w:rPr>
          <w:rFonts w:asciiTheme="minorHAnsi" w:eastAsiaTheme="minorEastAsia" w:hAnsiTheme="minorHAnsi" w:cstheme="minorHAnsi"/>
          <w:sz w:val="22"/>
          <w:szCs w:val="22"/>
          <w:lang w:val="en-US" w:eastAsia="en-US"/>
        </w:rPr>
        <w:t xml:space="preserve"> a charity raised funds </w:t>
      </w:r>
      <w:r w:rsidR="008A3E4C">
        <w:rPr>
          <w:rFonts w:asciiTheme="minorHAnsi" w:eastAsiaTheme="minorEastAsia" w:hAnsiTheme="minorHAnsi" w:cstheme="minorHAnsi"/>
          <w:sz w:val="22"/>
          <w:szCs w:val="22"/>
          <w:lang w:val="en-US" w:eastAsia="en-US"/>
        </w:rPr>
        <w:t>in</w:t>
      </w:r>
      <w:r w:rsidR="008A3E4C" w:rsidRPr="00DD6227">
        <w:rPr>
          <w:rFonts w:asciiTheme="minorHAnsi" w:eastAsiaTheme="minorEastAsia" w:hAnsiTheme="minorHAnsi" w:cstheme="minorHAnsi"/>
          <w:sz w:val="22"/>
          <w:szCs w:val="22"/>
          <w:lang w:val="en-US" w:eastAsia="en-US"/>
        </w:rPr>
        <w:t xml:space="preserve"> </w:t>
      </w:r>
      <w:r w:rsidRPr="00DD6227">
        <w:rPr>
          <w:rFonts w:asciiTheme="minorHAnsi" w:eastAsiaTheme="minorEastAsia" w:hAnsiTheme="minorHAnsi" w:cstheme="minorHAnsi"/>
          <w:sz w:val="22"/>
          <w:szCs w:val="22"/>
          <w:lang w:val="en-US" w:eastAsia="en-US"/>
        </w:rPr>
        <w:t xml:space="preserve">Australia to </w:t>
      </w:r>
      <w:r w:rsidR="008A3E4C">
        <w:rPr>
          <w:rFonts w:asciiTheme="minorHAnsi" w:eastAsiaTheme="minorEastAsia" w:hAnsiTheme="minorHAnsi" w:cstheme="minorHAnsi"/>
          <w:sz w:val="22"/>
          <w:szCs w:val="22"/>
          <w:lang w:val="en-US" w:eastAsia="en-US"/>
        </w:rPr>
        <w:t>send</w:t>
      </w:r>
      <w:r w:rsidRPr="00DD6227">
        <w:rPr>
          <w:rFonts w:asciiTheme="minorHAnsi" w:eastAsiaTheme="minorEastAsia" w:hAnsiTheme="minorHAnsi" w:cstheme="minorHAnsi"/>
          <w:sz w:val="22"/>
          <w:szCs w:val="22"/>
          <w:lang w:val="en-US" w:eastAsia="en-US"/>
        </w:rPr>
        <w:t xml:space="preserve"> to partner entities in developing countries </w:t>
      </w:r>
      <w:r w:rsidR="00816AB8">
        <w:rPr>
          <w:rFonts w:asciiTheme="minorHAnsi" w:eastAsiaTheme="minorEastAsia" w:hAnsiTheme="minorHAnsi" w:cstheme="minorHAnsi"/>
          <w:sz w:val="22"/>
          <w:szCs w:val="22"/>
          <w:lang w:val="en-US" w:eastAsia="en-US"/>
        </w:rPr>
        <w:t>to relieve</w:t>
      </w:r>
      <w:r w:rsidR="008A3E4C">
        <w:rPr>
          <w:rFonts w:asciiTheme="minorHAnsi" w:eastAsiaTheme="minorEastAsia" w:hAnsiTheme="minorHAnsi" w:cstheme="minorHAnsi"/>
          <w:sz w:val="22"/>
          <w:szCs w:val="22"/>
          <w:lang w:val="en-US" w:eastAsia="en-US"/>
        </w:rPr>
        <w:t xml:space="preserve"> </w:t>
      </w:r>
      <w:r w:rsidRPr="00DD6227">
        <w:rPr>
          <w:rFonts w:asciiTheme="minorHAnsi" w:eastAsiaTheme="minorEastAsia" w:hAnsiTheme="minorHAnsi" w:cstheme="minorHAnsi"/>
          <w:sz w:val="22"/>
          <w:szCs w:val="22"/>
          <w:lang w:val="en-US" w:eastAsia="en-US"/>
        </w:rPr>
        <w:t xml:space="preserve">hunger in those countries. The </w:t>
      </w:r>
      <w:r w:rsidR="00CA5788">
        <w:rPr>
          <w:rFonts w:asciiTheme="minorHAnsi" w:eastAsiaTheme="minorEastAsia" w:hAnsiTheme="minorHAnsi" w:cstheme="minorHAnsi"/>
          <w:sz w:val="22"/>
          <w:szCs w:val="22"/>
          <w:lang w:val="en-US" w:eastAsia="en-US"/>
        </w:rPr>
        <w:t>C</w:t>
      </w:r>
      <w:r w:rsidRPr="00DD6227">
        <w:rPr>
          <w:rFonts w:asciiTheme="minorHAnsi" w:eastAsiaTheme="minorEastAsia" w:hAnsiTheme="minorHAnsi" w:cstheme="minorHAnsi"/>
          <w:sz w:val="22"/>
          <w:szCs w:val="22"/>
          <w:lang w:val="en-US" w:eastAsia="en-US"/>
        </w:rPr>
        <w:t>ourt accepted that the charity had a purpose of relieving poverty of people in developing countries</w:t>
      </w:r>
      <w:r w:rsidR="00816AB8">
        <w:rPr>
          <w:rFonts w:asciiTheme="minorHAnsi" w:eastAsiaTheme="minorEastAsia" w:hAnsiTheme="minorHAnsi" w:cstheme="minorHAnsi"/>
          <w:sz w:val="22"/>
          <w:szCs w:val="22"/>
          <w:lang w:val="en-US" w:eastAsia="en-US"/>
        </w:rPr>
        <w:t xml:space="preserve"> because </w:t>
      </w:r>
      <w:r>
        <w:rPr>
          <w:rFonts w:asciiTheme="minorHAnsi" w:eastAsiaTheme="minorEastAsia" w:hAnsiTheme="minorHAnsi" w:cstheme="minorHAnsi"/>
          <w:sz w:val="22"/>
          <w:szCs w:val="22"/>
          <w:lang w:val="en-US" w:eastAsia="en-US"/>
        </w:rPr>
        <w:t xml:space="preserve">it was clear that the funds </w:t>
      </w:r>
      <w:r w:rsidR="00DD653C">
        <w:rPr>
          <w:rFonts w:asciiTheme="minorHAnsi" w:eastAsiaTheme="minorEastAsia" w:hAnsiTheme="minorHAnsi" w:cstheme="minorHAnsi"/>
          <w:sz w:val="22"/>
          <w:szCs w:val="22"/>
          <w:lang w:val="en-US" w:eastAsia="en-US"/>
        </w:rPr>
        <w:t>it</w:t>
      </w:r>
      <w:r>
        <w:rPr>
          <w:rFonts w:asciiTheme="minorHAnsi" w:eastAsiaTheme="minorEastAsia" w:hAnsiTheme="minorHAnsi" w:cstheme="minorHAnsi"/>
          <w:sz w:val="22"/>
          <w:szCs w:val="22"/>
          <w:lang w:val="en-US" w:eastAsia="en-US"/>
        </w:rPr>
        <w:t xml:space="preserve"> raised for the purpose of relieving poverty would be used for that purpose, albeit by the partner entity</w:t>
      </w:r>
      <w:r w:rsidRPr="00DD6227">
        <w:rPr>
          <w:rFonts w:asciiTheme="minorHAnsi" w:eastAsiaTheme="minorEastAsia" w:hAnsiTheme="minorHAnsi" w:cstheme="minorHAnsi"/>
          <w:sz w:val="22"/>
          <w:szCs w:val="22"/>
          <w:lang w:val="en-US" w:eastAsia="en-US"/>
        </w:rPr>
        <w:t>.</w:t>
      </w:r>
      <w:r w:rsidRPr="00DD6227">
        <w:rPr>
          <w:rStyle w:val="FootnoteReference"/>
          <w:rFonts w:asciiTheme="minorHAnsi" w:eastAsiaTheme="minorEastAsia" w:hAnsiTheme="minorHAnsi" w:cstheme="minorHAnsi"/>
          <w:sz w:val="22"/>
          <w:szCs w:val="22"/>
          <w:lang w:val="en-US" w:eastAsia="en-US"/>
        </w:rPr>
        <w:footnoteReference w:id="18"/>
      </w:r>
      <w:r w:rsidRPr="00DD6227">
        <w:rPr>
          <w:rFonts w:asciiTheme="minorHAnsi" w:eastAsiaTheme="minorEastAsia" w:hAnsiTheme="minorHAnsi" w:cstheme="minorHAnsi"/>
          <w:sz w:val="22"/>
          <w:szCs w:val="22"/>
          <w:lang w:val="en-US" w:eastAsia="en-US"/>
        </w:rPr>
        <w:t xml:space="preserve">  Similarly, in </w:t>
      </w:r>
      <w:r w:rsidRPr="00DD6227">
        <w:rPr>
          <w:rFonts w:asciiTheme="minorHAnsi" w:eastAsiaTheme="minorEastAsia" w:hAnsiTheme="minorHAnsi" w:cstheme="minorHAnsi"/>
          <w:i/>
          <w:iCs/>
          <w:sz w:val="22"/>
          <w:szCs w:val="22"/>
          <w:lang w:val="en-US" w:eastAsia="en-US"/>
        </w:rPr>
        <w:t>Global Citizen v Australian Charities and Not-for-profits Commission</w:t>
      </w:r>
      <w:r>
        <w:rPr>
          <w:rFonts w:asciiTheme="minorHAnsi" w:eastAsiaTheme="minorEastAsia" w:hAnsiTheme="minorHAnsi" w:cstheme="minorHAnsi"/>
          <w:sz w:val="22"/>
          <w:szCs w:val="22"/>
          <w:lang w:val="en-US" w:eastAsia="en-US"/>
        </w:rPr>
        <w:t xml:space="preserve"> (</w:t>
      </w:r>
      <w:r w:rsidRPr="00A77C8D">
        <w:rPr>
          <w:rFonts w:asciiTheme="minorHAnsi" w:eastAsiaTheme="minorEastAsia" w:hAnsiTheme="minorHAnsi" w:cstheme="minorHAnsi"/>
          <w:i/>
          <w:iCs/>
          <w:sz w:val="22"/>
          <w:szCs w:val="22"/>
          <w:lang w:val="en-US" w:eastAsia="en-US"/>
        </w:rPr>
        <w:t>Global Citizen</w:t>
      </w:r>
      <w:r>
        <w:rPr>
          <w:rFonts w:asciiTheme="minorHAnsi" w:eastAsiaTheme="minorEastAsia" w:hAnsiTheme="minorHAnsi" w:cstheme="minorHAnsi"/>
          <w:sz w:val="22"/>
          <w:szCs w:val="22"/>
          <w:lang w:val="en-US" w:eastAsia="en-US"/>
        </w:rPr>
        <w:t>)</w:t>
      </w:r>
      <w:r w:rsidRPr="00DD6227">
        <w:rPr>
          <w:rFonts w:asciiTheme="minorHAnsi" w:eastAsiaTheme="minorEastAsia" w:hAnsiTheme="minorHAnsi" w:cstheme="minorHAnsi"/>
          <w:sz w:val="22"/>
          <w:szCs w:val="22"/>
          <w:lang w:val="en-US" w:eastAsia="en-US"/>
        </w:rPr>
        <w:t>,</w:t>
      </w:r>
      <w:r>
        <w:rPr>
          <w:rStyle w:val="FootnoteReference"/>
          <w:rFonts w:asciiTheme="minorHAnsi" w:eastAsiaTheme="minorEastAsia" w:hAnsiTheme="minorHAnsi" w:cstheme="minorHAnsi"/>
          <w:sz w:val="22"/>
          <w:szCs w:val="22"/>
          <w:lang w:val="en-US" w:eastAsia="en-US"/>
        </w:rPr>
        <w:footnoteReference w:id="19"/>
      </w:r>
      <w:r w:rsidRPr="00DD6227">
        <w:rPr>
          <w:rFonts w:asciiTheme="minorHAnsi" w:eastAsiaTheme="minorEastAsia" w:hAnsiTheme="minorHAnsi" w:cstheme="minorHAnsi"/>
          <w:sz w:val="22"/>
          <w:szCs w:val="22"/>
          <w:lang w:val="en-US" w:eastAsia="en-US"/>
        </w:rPr>
        <w:t xml:space="preserve"> the charity lobbied governments and philanthropists to persuade them to provide financial support to other entities engaged in</w:t>
      </w:r>
      <w:r w:rsidR="00CA50CB">
        <w:rPr>
          <w:rFonts w:asciiTheme="minorHAnsi" w:eastAsiaTheme="minorEastAsia" w:hAnsiTheme="minorHAnsi" w:cstheme="minorHAnsi"/>
          <w:sz w:val="22"/>
          <w:szCs w:val="22"/>
          <w:lang w:val="en-US" w:eastAsia="en-US"/>
        </w:rPr>
        <w:t xml:space="preserve"> specific</w:t>
      </w:r>
      <w:r w:rsidRPr="00DD6227">
        <w:rPr>
          <w:rFonts w:asciiTheme="minorHAnsi" w:eastAsiaTheme="minorEastAsia" w:hAnsiTheme="minorHAnsi" w:cstheme="minorHAnsi"/>
          <w:sz w:val="22"/>
          <w:szCs w:val="22"/>
          <w:lang w:val="en-US" w:eastAsia="en-US"/>
        </w:rPr>
        <w:t xml:space="preserve"> activities to relieve poverty. The charity demonstrated that, following its lobbying activities, governments had committed financial support to</w:t>
      </w:r>
      <w:r w:rsidR="00DE616F">
        <w:rPr>
          <w:rFonts w:asciiTheme="minorHAnsi" w:eastAsiaTheme="minorEastAsia" w:hAnsiTheme="minorHAnsi" w:cstheme="minorHAnsi"/>
          <w:sz w:val="22"/>
          <w:szCs w:val="22"/>
          <w:lang w:val="en-US" w:eastAsia="en-US"/>
        </w:rPr>
        <w:t xml:space="preserve"> activities that relieve</w:t>
      </w:r>
      <w:r w:rsidRPr="00DD6227">
        <w:rPr>
          <w:rFonts w:asciiTheme="minorHAnsi" w:eastAsiaTheme="minorEastAsia" w:hAnsiTheme="minorHAnsi" w:cstheme="minorHAnsi"/>
          <w:sz w:val="22"/>
          <w:szCs w:val="22"/>
          <w:lang w:val="en-US" w:eastAsia="en-US"/>
        </w:rPr>
        <w:t xml:space="preserve"> poverty. The Administrative Appeals Tribunal accepted that the charity had a purpose of </w:t>
      </w:r>
      <w:r w:rsidRPr="00DD6227">
        <w:rPr>
          <w:rFonts w:asciiTheme="minorHAnsi" w:eastAsiaTheme="minorEastAsia" w:hAnsiTheme="minorHAnsi" w:cstheme="minorHAnsi"/>
          <w:sz w:val="22"/>
          <w:szCs w:val="22"/>
          <w:lang w:val="en-US" w:eastAsia="en-US"/>
        </w:rPr>
        <w:lastRenderedPageBreak/>
        <w:t>relieving global poverty</w:t>
      </w:r>
      <w:r w:rsidR="00782C30">
        <w:rPr>
          <w:rFonts w:asciiTheme="minorHAnsi" w:eastAsiaTheme="minorEastAsia" w:hAnsiTheme="minorHAnsi" w:cstheme="minorHAnsi"/>
          <w:sz w:val="22"/>
          <w:szCs w:val="22"/>
          <w:lang w:val="en-US" w:eastAsia="en-US"/>
        </w:rPr>
        <w:t>.</w:t>
      </w:r>
      <w:r w:rsidRPr="00DD6227">
        <w:rPr>
          <w:rStyle w:val="FootnoteReference"/>
          <w:rFonts w:asciiTheme="minorHAnsi" w:eastAsiaTheme="minorEastAsia" w:hAnsiTheme="minorHAnsi" w:cstheme="minorHAnsi"/>
          <w:sz w:val="22"/>
          <w:szCs w:val="22"/>
          <w:lang w:val="en-US" w:eastAsia="en-US"/>
        </w:rPr>
        <w:footnoteReference w:id="20"/>
      </w:r>
      <w:r w:rsidR="00CA3F01">
        <w:rPr>
          <w:rFonts w:asciiTheme="minorHAnsi" w:eastAsiaTheme="minorEastAsia" w:hAnsiTheme="minorHAnsi" w:cstheme="minorHAnsi"/>
          <w:sz w:val="22"/>
          <w:szCs w:val="22"/>
          <w:lang w:val="en-US" w:eastAsia="en-US"/>
        </w:rPr>
        <w:t xml:space="preserve"> </w:t>
      </w:r>
      <w:r w:rsidR="00782C30">
        <w:rPr>
          <w:rFonts w:asciiTheme="minorHAnsi" w:eastAsiaTheme="minorEastAsia" w:hAnsiTheme="minorHAnsi" w:cstheme="minorHAnsi"/>
          <w:sz w:val="22"/>
          <w:szCs w:val="22"/>
          <w:lang w:val="en-US" w:eastAsia="en-US"/>
        </w:rPr>
        <w:t xml:space="preserve">The AAT </w:t>
      </w:r>
      <w:r w:rsidR="00CA3F01">
        <w:rPr>
          <w:rFonts w:asciiTheme="minorHAnsi" w:eastAsiaTheme="minorEastAsia" w:hAnsiTheme="minorHAnsi" w:cstheme="minorHAnsi"/>
          <w:sz w:val="22"/>
          <w:szCs w:val="22"/>
          <w:lang w:val="en-US" w:eastAsia="en-US"/>
        </w:rPr>
        <w:t>not</w:t>
      </w:r>
      <w:r w:rsidR="00782C30">
        <w:rPr>
          <w:rFonts w:asciiTheme="minorHAnsi" w:eastAsiaTheme="minorEastAsia" w:hAnsiTheme="minorHAnsi" w:cstheme="minorHAnsi"/>
          <w:sz w:val="22"/>
          <w:szCs w:val="22"/>
          <w:lang w:val="en-US" w:eastAsia="en-US"/>
        </w:rPr>
        <w:t>ed</w:t>
      </w:r>
      <w:r w:rsidR="00CA3F01">
        <w:rPr>
          <w:rFonts w:asciiTheme="minorHAnsi" w:eastAsiaTheme="minorEastAsia" w:hAnsiTheme="minorHAnsi" w:cstheme="minorHAnsi"/>
          <w:sz w:val="22"/>
          <w:szCs w:val="22"/>
          <w:lang w:val="en-US" w:eastAsia="en-US"/>
        </w:rPr>
        <w:t xml:space="preserve"> that </w:t>
      </w:r>
      <w:r w:rsidR="00782C30">
        <w:rPr>
          <w:rFonts w:asciiTheme="minorHAnsi" w:eastAsiaTheme="minorEastAsia" w:hAnsiTheme="minorHAnsi" w:cstheme="minorHAnsi"/>
          <w:sz w:val="22"/>
          <w:szCs w:val="22"/>
          <w:lang w:val="en-US" w:eastAsia="en-US"/>
        </w:rPr>
        <w:t>Global Citizen’s</w:t>
      </w:r>
      <w:r w:rsidR="00E3078F">
        <w:rPr>
          <w:rFonts w:asciiTheme="minorHAnsi" w:eastAsiaTheme="minorEastAsia" w:hAnsiTheme="minorHAnsi" w:cstheme="minorHAnsi"/>
          <w:sz w:val="22"/>
          <w:szCs w:val="22"/>
          <w:lang w:val="en-US" w:eastAsia="en-US"/>
        </w:rPr>
        <w:t xml:space="preserve"> activities ‘go beyond mere advocacy for policy change.’</w:t>
      </w:r>
      <w:r w:rsidR="00140D40">
        <w:rPr>
          <w:rStyle w:val="FootnoteReference"/>
          <w:rFonts w:asciiTheme="minorHAnsi" w:eastAsiaTheme="minorEastAsia" w:hAnsiTheme="minorHAnsi" w:cstheme="minorHAnsi"/>
          <w:sz w:val="22"/>
          <w:szCs w:val="22"/>
          <w:lang w:val="en-US" w:eastAsia="en-US"/>
        </w:rPr>
        <w:footnoteReference w:id="21"/>
      </w:r>
    </w:p>
    <w:p w14:paraId="52EEADB3" w14:textId="09CD70F7" w:rsidR="0032337A" w:rsidRDefault="0032337A" w:rsidP="00985154">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Pr>
          <w:rFonts w:asciiTheme="minorHAnsi" w:eastAsiaTheme="minorEastAsia" w:hAnsiTheme="minorHAnsi" w:cstheme="minorHAnsi"/>
          <w:sz w:val="22"/>
          <w:szCs w:val="22"/>
          <w:lang w:val="en-US" w:eastAsia="en-US"/>
        </w:rPr>
        <w:t>If a charity provides</w:t>
      </w:r>
      <w:r w:rsidR="00AB0FA8">
        <w:rPr>
          <w:rFonts w:asciiTheme="minorHAnsi" w:eastAsiaTheme="minorEastAsia" w:hAnsiTheme="minorHAnsi" w:cstheme="minorHAnsi"/>
          <w:sz w:val="22"/>
          <w:szCs w:val="22"/>
          <w:lang w:val="en-US" w:eastAsia="en-US"/>
        </w:rPr>
        <w:t xml:space="preserve"> benevolent relief </w:t>
      </w:r>
      <w:r w:rsidR="00A811F4">
        <w:rPr>
          <w:rFonts w:asciiTheme="minorHAnsi" w:eastAsiaTheme="minorEastAsia" w:hAnsiTheme="minorHAnsi" w:cstheme="minorHAnsi"/>
          <w:sz w:val="22"/>
          <w:szCs w:val="22"/>
          <w:lang w:val="en-US" w:eastAsia="en-US"/>
        </w:rPr>
        <w:t xml:space="preserve">by </w:t>
      </w:r>
      <w:r w:rsidR="00AB0FA8">
        <w:rPr>
          <w:rFonts w:asciiTheme="minorHAnsi" w:eastAsiaTheme="minorEastAsia" w:hAnsiTheme="minorHAnsi" w:cstheme="minorHAnsi"/>
          <w:sz w:val="22"/>
          <w:szCs w:val="22"/>
          <w:lang w:val="en-US" w:eastAsia="en-US"/>
        </w:rPr>
        <w:t>sending</w:t>
      </w:r>
      <w:r>
        <w:rPr>
          <w:rFonts w:asciiTheme="minorHAnsi" w:eastAsiaTheme="minorEastAsia" w:hAnsiTheme="minorHAnsi" w:cstheme="minorHAnsi"/>
          <w:sz w:val="22"/>
          <w:szCs w:val="22"/>
          <w:lang w:val="en-US" w:eastAsia="en-US"/>
        </w:rPr>
        <w:t xml:space="preserve"> </w:t>
      </w:r>
      <w:r w:rsidR="00AB0FA8">
        <w:rPr>
          <w:rFonts w:asciiTheme="minorHAnsi" w:eastAsiaTheme="minorEastAsia" w:hAnsiTheme="minorHAnsi" w:cstheme="minorHAnsi"/>
          <w:sz w:val="22"/>
          <w:szCs w:val="22"/>
          <w:lang w:val="en-US" w:eastAsia="en-US"/>
        </w:rPr>
        <w:t>funds or resources to another organisation</w:t>
      </w:r>
      <w:r w:rsidR="00833B17">
        <w:rPr>
          <w:rFonts w:asciiTheme="minorHAnsi" w:eastAsiaTheme="minorEastAsia" w:hAnsiTheme="minorHAnsi" w:cstheme="minorHAnsi"/>
          <w:sz w:val="22"/>
          <w:szCs w:val="22"/>
          <w:lang w:val="en-US" w:eastAsia="en-US"/>
        </w:rPr>
        <w:t xml:space="preserve"> </w:t>
      </w:r>
      <w:r w:rsidR="00A811F4">
        <w:rPr>
          <w:rFonts w:asciiTheme="minorHAnsi" w:eastAsiaTheme="minorEastAsia" w:hAnsiTheme="minorHAnsi" w:cstheme="minorHAnsi"/>
          <w:sz w:val="22"/>
          <w:szCs w:val="22"/>
          <w:lang w:val="en-US" w:eastAsia="en-US"/>
        </w:rPr>
        <w:t xml:space="preserve">that </w:t>
      </w:r>
      <w:r w:rsidR="00833B17">
        <w:rPr>
          <w:rFonts w:asciiTheme="minorHAnsi" w:eastAsiaTheme="minorEastAsia" w:hAnsiTheme="minorHAnsi" w:cstheme="minorHAnsi"/>
          <w:sz w:val="22"/>
          <w:szCs w:val="22"/>
          <w:lang w:val="en-US" w:eastAsia="en-US"/>
        </w:rPr>
        <w:t>is not a PBI</w:t>
      </w:r>
      <w:r w:rsidR="00AB0FA8">
        <w:rPr>
          <w:rFonts w:asciiTheme="minorHAnsi" w:eastAsiaTheme="minorEastAsia" w:hAnsiTheme="minorHAnsi" w:cstheme="minorHAnsi"/>
          <w:sz w:val="22"/>
          <w:szCs w:val="22"/>
          <w:lang w:val="en-US" w:eastAsia="en-US"/>
        </w:rPr>
        <w:t xml:space="preserve">, the charity </w:t>
      </w:r>
      <w:r w:rsidR="00436018">
        <w:rPr>
          <w:rFonts w:asciiTheme="minorHAnsi" w:eastAsiaTheme="minorEastAsia" w:hAnsiTheme="minorHAnsi" w:cstheme="minorHAnsi"/>
          <w:sz w:val="22"/>
          <w:szCs w:val="22"/>
          <w:lang w:val="en-US" w:eastAsia="en-US"/>
        </w:rPr>
        <w:t>must</w:t>
      </w:r>
      <w:r w:rsidR="00AB0FA8">
        <w:rPr>
          <w:rFonts w:asciiTheme="minorHAnsi" w:eastAsiaTheme="minorEastAsia" w:hAnsiTheme="minorHAnsi" w:cstheme="minorHAnsi"/>
          <w:sz w:val="22"/>
          <w:szCs w:val="22"/>
          <w:lang w:val="en-US" w:eastAsia="en-US"/>
        </w:rPr>
        <w:t xml:space="preserve"> demonstrate how it ensures the</w:t>
      </w:r>
      <w:r w:rsidR="00833B17">
        <w:rPr>
          <w:rFonts w:asciiTheme="minorHAnsi" w:eastAsiaTheme="minorEastAsia" w:hAnsiTheme="minorHAnsi" w:cstheme="minorHAnsi"/>
          <w:sz w:val="22"/>
          <w:szCs w:val="22"/>
          <w:lang w:val="en-US" w:eastAsia="en-US"/>
        </w:rPr>
        <w:t xml:space="preserve"> other organisation </w:t>
      </w:r>
      <w:r w:rsidR="00436018">
        <w:rPr>
          <w:rFonts w:asciiTheme="minorHAnsi" w:eastAsiaTheme="minorEastAsia" w:hAnsiTheme="minorHAnsi" w:cstheme="minorHAnsi"/>
          <w:sz w:val="22"/>
          <w:szCs w:val="22"/>
          <w:lang w:val="en-US" w:eastAsia="en-US"/>
        </w:rPr>
        <w:t xml:space="preserve">will </w:t>
      </w:r>
      <w:r w:rsidR="009A0C94">
        <w:rPr>
          <w:rFonts w:asciiTheme="minorHAnsi" w:eastAsiaTheme="minorEastAsia" w:hAnsiTheme="minorHAnsi" w:cstheme="minorHAnsi"/>
          <w:sz w:val="22"/>
          <w:szCs w:val="22"/>
          <w:lang w:val="en-US" w:eastAsia="en-US"/>
        </w:rPr>
        <w:t>use the funds and resources only for benevolent relief.</w:t>
      </w:r>
      <w:r w:rsidR="00D266D6">
        <w:rPr>
          <w:rFonts w:asciiTheme="minorHAnsi" w:eastAsiaTheme="minorEastAsia" w:hAnsiTheme="minorHAnsi" w:cstheme="minorHAnsi"/>
          <w:sz w:val="22"/>
          <w:szCs w:val="22"/>
          <w:lang w:val="en-US" w:eastAsia="en-US"/>
        </w:rPr>
        <w:t xml:space="preserve"> </w:t>
      </w:r>
      <w:r w:rsidR="00BF2CEE">
        <w:rPr>
          <w:rFonts w:asciiTheme="minorHAnsi" w:eastAsiaTheme="minorEastAsia" w:hAnsiTheme="minorHAnsi" w:cstheme="minorHAnsi"/>
          <w:sz w:val="22"/>
          <w:szCs w:val="22"/>
          <w:lang w:val="en-US" w:eastAsia="en-US"/>
        </w:rPr>
        <w:t xml:space="preserve">It could do this </w:t>
      </w:r>
      <w:r w:rsidR="00677785">
        <w:rPr>
          <w:rFonts w:asciiTheme="minorHAnsi" w:eastAsiaTheme="minorEastAsia" w:hAnsiTheme="minorHAnsi" w:cstheme="minorHAnsi"/>
          <w:sz w:val="22"/>
          <w:szCs w:val="22"/>
          <w:lang w:val="en-US" w:eastAsia="en-US"/>
        </w:rPr>
        <w:t xml:space="preserve">by </w:t>
      </w:r>
      <w:r w:rsidR="00BF2CEE">
        <w:rPr>
          <w:rFonts w:asciiTheme="minorHAnsi" w:eastAsiaTheme="minorEastAsia" w:hAnsiTheme="minorHAnsi" w:cstheme="minorHAnsi"/>
          <w:sz w:val="22"/>
          <w:szCs w:val="22"/>
          <w:lang w:val="en-US" w:eastAsia="en-US"/>
        </w:rPr>
        <w:t>establishing</w:t>
      </w:r>
      <w:r w:rsidR="00677785">
        <w:rPr>
          <w:rFonts w:asciiTheme="minorHAnsi" w:eastAsiaTheme="minorEastAsia" w:hAnsiTheme="minorHAnsi" w:cstheme="minorHAnsi"/>
          <w:sz w:val="22"/>
          <w:szCs w:val="22"/>
          <w:lang w:val="en-US" w:eastAsia="en-US"/>
        </w:rPr>
        <w:t xml:space="preserve"> </w:t>
      </w:r>
      <w:r w:rsidR="002B7B18">
        <w:rPr>
          <w:rFonts w:asciiTheme="minorHAnsi" w:eastAsiaTheme="minorEastAsia" w:hAnsiTheme="minorHAnsi" w:cstheme="minorHAnsi"/>
          <w:sz w:val="22"/>
          <w:szCs w:val="22"/>
          <w:lang w:val="en-US" w:eastAsia="en-US"/>
        </w:rPr>
        <w:t>partnership agreements</w:t>
      </w:r>
      <w:r w:rsidR="00677785">
        <w:rPr>
          <w:rFonts w:asciiTheme="minorHAnsi" w:eastAsiaTheme="minorEastAsia" w:hAnsiTheme="minorHAnsi" w:cstheme="minorHAnsi"/>
          <w:sz w:val="22"/>
          <w:szCs w:val="22"/>
          <w:lang w:val="en-US" w:eastAsia="en-US"/>
        </w:rPr>
        <w:t xml:space="preserve"> or memorandums of understanding with partner </w:t>
      </w:r>
      <w:proofErr w:type="spellStart"/>
      <w:r w:rsidR="00677785">
        <w:rPr>
          <w:rFonts w:asciiTheme="minorHAnsi" w:eastAsiaTheme="minorEastAsia" w:hAnsiTheme="minorHAnsi" w:cstheme="minorHAnsi"/>
          <w:sz w:val="22"/>
          <w:szCs w:val="22"/>
          <w:lang w:val="en-US" w:eastAsia="en-US"/>
        </w:rPr>
        <w:t>organisations</w:t>
      </w:r>
      <w:proofErr w:type="spellEnd"/>
      <w:r w:rsidR="00677785">
        <w:rPr>
          <w:rFonts w:asciiTheme="minorHAnsi" w:eastAsiaTheme="minorEastAsia" w:hAnsiTheme="minorHAnsi" w:cstheme="minorHAnsi"/>
          <w:sz w:val="22"/>
          <w:szCs w:val="22"/>
          <w:lang w:val="en-US" w:eastAsia="en-US"/>
        </w:rPr>
        <w:t>.</w:t>
      </w:r>
    </w:p>
    <w:p w14:paraId="34FAB6D1" w14:textId="197E8609" w:rsidR="00985154" w:rsidRDefault="00985154" w:rsidP="00985154">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The more abstract</w:t>
      </w:r>
      <w:r>
        <w:rPr>
          <w:rFonts w:asciiTheme="minorHAnsi" w:eastAsiaTheme="minorEastAsia" w:hAnsiTheme="minorHAnsi" w:cstheme="minorHAnsi"/>
          <w:sz w:val="22"/>
          <w:szCs w:val="22"/>
          <w:lang w:val="en-US" w:eastAsia="en-US"/>
        </w:rPr>
        <w:t xml:space="preserve"> and </w:t>
      </w:r>
      <w:r w:rsidR="006E311B">
        <w:rPr>
          <w:rFonts w:asciiTheme="minorHAnsi" w:eastAsiaTheme="minorEastAsia" w:hAnsiTheme="minorHAnsi" w:cstheme="minorHAnsi"/>
          <w:sz w:val="22"/>
          <w:szCs w:val="22"/>
          <w:lang w:val="en-US" w:eastAsia="en-US"/>
        </w:rPr>
        <w:t>in</w:t>
      </w:r>
      <w:r>
        <w:rPr>
          <w:rFonts w:asciiTheme="minorHAnsi" w:eastAsiaTheme="minorEastAsia" w:hAnsiTheme="minorHAnsi" w:cstheme="minorHAnsi"/>
          <w:sz w:val="22"/>
          <w:szCs w:val="22"/>
          <w:lang w:val="en-US" w:eastAsia="en-US"/>
        </w:rPr>
        <w:t>direct</w:t>
      </w:r>
      <w:r w:rsidRPr="00DD6227">
        <w:rPr>
          <w:rFonts w:asciiTheme="minorHAnsi" w:eastAsiaTheme="minorEastAsia" w:hAnsiTheme="minorHAnsi" w:cstheme="minorHAnsi"/>
          <w:sz w:val="22"/>
          <w:szCs w:val="22"/>
          <w:lang w:val="en-US" w:eastAsia="en-US"/>
        </w:rPr>
        <w:t xml:space="preserve"> the connection between </w:t>
      </w:r>
      <w:r w:rsidR="006E311B">
        <w:rPr>
          <w:rFonts w:asciiTheme="minorHAnsi" w:eastAsiaTheme="minorEastAsia" w:hAnsiTheme="minorHAnsi" w:cstheme="minorHAnsi"/>
          <w:sz w:val="22"/>
          <w:szCs w:val="22"/>
          <w:lang w:val="en-US" w:eastAsia="en-US"/>
        </w:rPr>
        <w:t>a</w:t>
      </w:r>
      <w:r w:rsidR="006E311B" w:rsidRPr="00DD6227">
        <w:rPr>
          <w:rFonts w:asciiTheme="minorHAnsi" w:eastAsiaTheme="minorEastAsia" w:hAnsiTheme="minorHAnsi" w:cstheme="minorHAnsi"/>
          <w:sz w:val="22"/>
          <w:szCs w:val="22"/>
          <w:lang w:val="en-US" w:eastAsia="en-US"/>
        </w:rPr>
        <w:t xml:space="preserve"> </w:t>
      </w:r>
      <w:r w:rsidRPr="00DD6227">
        <w:rPr>
          <w:rFonts w:asciiTheme="minorHAnsi" w:eastAsiaTheme="minorEastAsia" w:hAnsiTheme="minorHAnsi" w:cstheme="minorHAnsi"/>
          <w:sz w:val="22"/>
          <w:szCs w:val="22"/>
          <w:lang w:val="en-US" w:eastAsia="en-US"/>
        </w:rPr>
        <w:t>charity’s activit</w:t>
      </w:r>
      <w:r>
        <w:rPr>
          <w:rFonts w:asciiTheme="minorHAnsi" w:eastAsiaTheme="minorEastAsia" w:hAnsiTheme="minorHAnsi" w:cstheme="minorHAnsi"/>
          <w:sz w:val="22"/>
          <w:szCs w:val="22"/>
          <w:lang w:val="en-US" w:eastAsia="en-US"/>
        </w:rPr>
        <w:t>ies to achieve its purpose</w:t>
      </w:r>
      <w:r w:rsidRPr="00DD6227">
        <w:rPr>
          <w:rFonts w:asciiTheme="minorHAnsi" w:eastAsiaTheme="minorEastAsia" w:hAnsiTheme="minorHAnsi" w:cstheme="minorHAnsi"/>
          <w:sz w:val="22"/>
          <w:szCs w:val="22"/>
          <w:lang w:val="en-US" w:eastAsia="en-US"/>
        </w:rPr>
        <w:t xml:space="preserve"> and the relief of </w:t>
      </w:r>
      <w:r w:rsidR="006E311B">
        <w:rPr>
          <w:rFonts w:asciiTheme="minorHAnsi" w:eastAsiaTheme="minorEastAsia" w:hAnsiTheme="minorHAnsi" w:cstheme="minorHAnsi"/>
          <w:sz w:val="22"/>
          <w:szCs w:val="22"/>
          <w:lang w:val="en-US" w:eastAsia="en-US"/>
        </w:rPr>
        <w:t>it</w:t>
      </w:r>
      <w:r w:rsidRPr="00DD6227">
        <w:rPr>
          <w:rFonts w:asciiTheme="minorHAnsi" w:eastAsiaTheme="minorEastAsia" w:hAnsiTheme="minorHAnsi" w:cstheme="minorHAnsi"/>
          <w:sz w:val="22"/>
          <w:szCs w:val="22"/>
          <w:lang w:val="en-US" w:eastAsia="en-US"/>
        </w:rPr>
        <w:t xml:space="preserve">s beneficiaries, the less likely </w:t>
      </w:r>
      <w:r w:rsidR="006E311B">
        <w:rPr>
          <w:rFonts w:asciiTheme="minorHAnsi" w:eastAsiaTheme="minorEastAsia" w:hAnsiTheme="minorHAnsi" w:cstheme="minorHAnsi"/>
          <w:sz w:val="22"/>
          <w:szCs w:val="22"/>
          <w:lang w:val="en-US" w:eastAsia="en-US"/>
        </w:rPr>
        <w:t xml:space="preserve">it </w:t>
      </w:r>
      <w:r w:rsidR="00CB1A58">
        <w:rPr>
          <w:rFonts w:asciiTheme="minorHAnsi" w:eastAsiaTheme="minorEastAsia" w:hAnsiTheme="minorHAnsi" w:cstheme="minorHAnsi"/>
          <w:sz w:val="22"/>
          <w:szCs w:val="22"/>
          <w:lang w:val="en-US" w:eastAsia="en-US"/>
        </w:rPr>
        <w:t xml:space="preserve">will </w:t>
      </w:r>
      <w:r w:rsidR="00BF2CEE">
        <w:rPr>
          <w:rFonts w:asciiTheme="minorHAnsi" w:eastAsiaTheme="minorEastAsia" w:hAnsiTheme="minorHAnsi" w:cstheme="minorHAnsi"/>
          <w:sz w:val="22"/>
          <w:szCs w:val="22"/>
          <w:lang w:val="en-US" w:eastAsia="en-US"/>
        </w:rPr>
        <w:t>have</w:t>
      </w:r>
      <w:r w:rsidR="00CB1A58">
        <w:rPr>
          <w:rFonts w:asciiTheme="minorHAnsi" w:eastAsiaTheme="minorEastAsia" w:hAnsiTheme="minorHAnsi" w:cstheme="minorHAnsi"/>
          <w:sz w:val="22"/>
          <w:szCs w:val="22"/>
          <w:lang w:val="en-US" w:eastAsia="en-US"/>
        </w:rPr>
        <w:t xml:space="preserve"> </w:t>
      </w:r>
      <w:r w:rsidRPr="00DD6227">
        <w:rPr>
          <w:rFonts w:asciiTheme="minorHAnsi" w:eastAsiaTheme="minorEastAsia" w:hAnsiTheme="minorHAnsi" w:cstheme="minorHAnsi"/>
          <w:sz w:val="22"/>
          <w:szCs w:val="22"/>
          <w:lang w:val="en-US" w:eastAsia="en-US"/>
        </w:rPr>
        <w:t>a</w:t>
      </w:r>
      <w:r w:rsidR="00267FE6">
        <w:rPr>
          <w:rFonts w:asciiTheme="minorHAnsi" w:eastAsiaTheme="minorEastAsia" w:hAnsiTheme="minorHAnsi" w:cstheme="minorHAnsi"/>
          <w:sz w:val="22"/>
          <w:szCs w:val="22"/>
          <w:lang w:val="en-US" w:eastAsia="en-US"/>
        </w:rPr>
        <w:t xml:space="preserve"> purpose of</w:t>
      </w:r>
      <w:r w:rsidRPr="00DD6227">
        <w:rPr>
          <w:rFonts w:asciiTheme="minorHAnsi" w:eastAsiaTheme="minorEastAsia" w:hAnsiTheme="minorHAnsi" w:cstheme="minorHAnsi"/>
          <w:sz w:val="22"/>
          <w:szCs w:val="22"/>
          <w:lang w:val="en-US" w:eastAsia="en-US"/>
        </w:rPr>
        <w:t xml:space="preserve"> benevolent relief.</w:t>
      </w:r>
      <w:r w:rsidRPr="00DD6227">
        <w:rPr>
          <w:rStyle w:val="FootnoteReference"/>
          <w:rFonts w:asciiTheme="minorHAnsi" w:eastAsiaTheme="minorEastAsia" w:hAnsiTheme="minorHAnsi" w:cstheme="minorHAnsi"/>
          <w:sz w:val="22"/>
          <w:szCs w:val="22"/>
          <w:lang w:val="en-US" w:eastAsia="en-US"/>
        </w:rPr>
        <w:footnoteReference w:id="22"/>
      </w:r>
      <w:r w:rsidRPr="00DD6227">
        <w:rPr>
          <w:rFonts w:asciiTheme="minorHAnsi" w:eastAsiaTheme="minorEastAsia" w:hAnsiTheme="minorHAnsi" w:cstheme="minorHAnsi"/>
          <w:sz w:val="22"/>
          <w:szCs w:val="22"/>
          <w:lang w:val="en-US" w:eastAsia="en-US"/>
        </w:rPr>
        <w:t xml:space="preserve"> </w:t>
      </w:r>
      <w:r>
        <w:rPr>
          <w:rFonts w:asciiTheme="minorHAnsi" w:eastAsiaTheme="minorEastAsia" w:hAnsiTheme="minorHAnsi" w:cstheme="minorHAnsi"/>
          <w:sz w:val="22"/>
          <w:szCs w:val="22"/>
          <w:lang w:val="en-US" w:eastAsia="en-US"/>
        </w:rPr>
        <w:t xml:space="preserve">This was described in the following way in </w:t>
      </w:r>
      <w:r w:rsidRPr="000B0E80">
        <w:rPr>
          <w:rFonts w:asciiTheme="minorHAnsi" w:eastAsiaTheme="minorEastAsia" w:hAnsiTheme="minorHAnsi" w:cstheme="minorHAnsi"/>
          <w:i/>
          <w:iCs/>
          <w:sz w:val="22"/>
          <w:szCs w:val="22"/>
          <w:lang w:val="en-US" w:eastAsia="en-US"/>
        </w:rPr>
        <w:t>Global Citizen</w:t>
      </w:r>
      <w:r>
        <w:rPr>
          <w:rFonts w:asciiTheme="minorHAnsi" w:eastAsiaTheme="minorEastAsia" w:hAnsiTheme="minorHAnsi" w:cstheme="minorHAnsi"/>
          <w:sz w:val="22"/>
          <w:szCs w:val="22"/>
          <w:lang w:val="en-US" w:eastAsia="en-US"/>
        </w:rPr>
        <w:t>:</w:t>
      </w:r>
    </w:p>
    <w:p w14:paraId="11444C51" w14:textId="77777777" w:rsidR="00985154" w:rsidRPr="00DD6227" w:rsidRDefault="00985154" w:rsidP="00985154">
      <w:pPr>
        <w:pStyle w:val="ListParagraph"/>
        <w:spacing w:before="120" w:after="120" w:line="276" w:lineRule="auto"/>
        <w:ind w:left="1440"/>
        <w:textAlignment w:val="baseline"/>
        <w:rPr>
          <w:rFonts w:asciiTheme="minorHAnsi" w:eastAsiaTheme="minorEastAsia" w:hAnsiTheme="minorHAnsi" w:cstheme="minorHAnsi"/>
          <w:sz w:val="22"/>
          <w:szCs w:val="22"/>
          <w:lang w:val="en-US" w:eastAsia="en-US"/>
        </w:rPr>
      </w:pPr>
      <w:r w:rsidRPr="005E1ECC">
        <w:rPr>
          <w:rFonts w:asciiTheme="minorHAnsi" w:eastAsiaTheme="minorEastAsia" w:hAnsiTheme="minorHAnsi" w:cstheme="minorHAnsi"/>
          <w:sz w:val="22"/>
          <w:szCs w:val="22"/>
          <w:lang w:val="en-US" w:eastAsia="en-US"/>
        </w:rPr>
        <w:t>In the case where the entity does not provide relief directly but relies on providing relief indirectly, there is likely to be a spectrum and it is possible the activities of an applicant will be such that it is not possible to say the entity is ‘</w:t>
      </w:r>
      <w:proofErr w:type="spellStart"/>
      <w:r w:rsidRPr="005E1ECC">
        <w:rPr>
          <w:rFonts w:asciiTheme="minorHAnsi" w:eastAsiaTheme="minorEastAsia" w:hAnsiTheme="minorHAnsi" w:cstheme="minorHAnsi"/>
          <w:sz w:val="22"/>
          <w:szCs w:val="22"/>
          <w:lang w:val="en-US" w:eastAsia="en-US"/>
        </w:rPr>
        <w:t>organised</w:t>
      </w:r>
      <w:proofErr w:type="spellEnd"/>
      <w:r w:rsidRPr="005E1ECC">
        <w:rPr>
          <w:rFonts w:asciiTheme="minorHAnsi" w:eastAsiaTheme="minorEastAsia" w:hAnsiTheme="minorHAnsi" w:cstheme="minorHAnsi"/>
          <w:sz w:val="22"/>
          <w:szCs w:val="22"/>
          <w:lang w:val="en-US" w:eastAsia="en-US"/>
        </w:rPr>
        <w:t>’ for, or ‘concerned in’ or ‘promoting’ the relief of poverty etc</w:t>
      </w:r>
      <w:r>
        <w:rPr>
          <w:rFonts w:asciiTheme="minorHAnsi" w:eastAsiaTheme="minorEastAsia" w:hAnsiTheme="minorHAnsi" w:cstheme="minorHAnsi"/>
          <w:sz w:val="22"/>
          <w:szCs w:val="22"/>
          <w:lang w:val="en-US" w:eastAsia="en-US"/>
        </w:rPr>
        <w:t>.</w:t>
      </w:r>
      <w:r>
        <w:rPr>
          <w:rStyle w:val="FootnoteReference"/>
          <w:rFonts w:asciiTheme="minorHAnsi" w:eastAsiaTheme="minorEastAsia" w:hAnsiTheme="minorHAnsi" w:cstheme="minorHAnsi"/>
          <w:sz w:val="22"/>
          <w:szCs w:val="22"/>
          <w:lang w:val="en-US" w:eastAsia="en-US"/>
        </w:rPr>
        <w:footnoteReference w:id="23"/>
      </w:r>
    </w:p>
    <w:p w14:paraId="0DBF8D62" w14:textId="0936FE78" w:rsidR="000A5BB1" w:rsidRDefault="000A5BB1" w:rsidP="000A5D5F">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Pr>
          <w:rFonts w:asciiTheme="minorHAnsi" w:eastAsiaTheme="minorEastAsia" w:hAnsiTheme="minorHAnsi" w:cstheme="minorHAnsi"/>
          <w:sz w:val="22"/>
          <w:szCs w:val="22"/>
          <w:lang w:val="en-US" w:eastAsia="en-US"/>
        </w:rPr>
        <w:t>If a charity cannot</w:t>
      </w:r>
      <w:r w:rsidR="00BB11BA">
        <w:rPr>
          <w:rFonts w:asciiTheme="minorHAnsi" w:eastAsiaTheme="minorEastAsia" w:hAnsiTheme="minorHAnsi" w:cstheme="minorHAnsi"/>
          <w:sz w:val="22"/>
          <w:szCs w:val="22"/>
          <w:lang w:val="en-US" w:eastAsia="en-US"/>
        </w:rPr>
        <w:t xml:space="preserve"> show </w:t>
      </w:r>
      <w:r w:rsidR="008A6715">
        <w:rPr>
          <w:rFonts w:asciiTheme="minorHAnsi" w:eastAsiaTheme="minorEastAsia" w:hAnsiTheme="minorHAnsi" w:cstheme="minorHAnsi"/>
          <w:sz w:val="22"/>
          <w:szCs w:val="22"/>
          <w:lang w:val="en-US" w:eastAsia="en-US"/>
        </w:rPr>
        <w:t xml:space="preserve">a sufficient connection between </w:t>
      </w:r>
      <w:r w:rsidR="00DA39D1">
        <w:rPr>
          <w:rFonts w:asciiTheme="minorHAnsi" w:eastAsiaTheme="minorEastAsia" w:hAnsiTheme="minorHAnsi" w:cstheme="minorHAnsi"/>
          <w:sz w:val="22"/>
          <w:szCs w:val="22"/>
          <w:lang w:val="en-US" w:eastAsia="en-US"/>
        </w:rPr>
        <w:t>how it achieves its purpose and</w:t>
      </w:r>
      <w:r w:rsidR="00DC38EC">
        <w:rPr>
          <w:rFonts w:asciiTheme="minorHAnsi" w:eastAsiaTheme="minorEastAsia" w:hAnsiTheme="minorHAnsi" w:cstheme="minorHAnsi"/>
          <w:sz w:val="22"/>
          <w:szCs w:val="22"/>
          <w:lang w:val="en-US" w:eastAsia="en-US"/>
        </w:rPr>
        <w:t xml:space="preserve"> how </w:t>
      </w:r>
      <w:proofErr w:type="gramStart"/>
      <w:r w:rsidR="00DC38EC">
        <w:rPr>
          <w:rFonts w:asciiTheme="minorHAnsi" w:eastAsiaTheme="minorEastAsia" w:hAnsiTheme="minorHAnsi" w:cstheme="minorHAnsi"/>
          <w:sz w:val="22"/>
          <w:szCs w:val="22"/>
          <w:lang w:val="en-US" w:eastAsia="en-US"/>
        </w:rPr>
        <w:t xml:space="preserve">that </w:t>
      </w:r>
      <w:r w:rsidR="00B576CA">
        <w:rPr>
          <w:rFonts w:asciiTheme="minorHAnsi" w:eastAsiaTheme="minorEastAsia" w:hAnsiTheme="minorHAnsi" w:cstheme="minorHAnsi"/>
          <w:sz w:val="22"/>
          <w:szCs w:val="22"/>
          <w:lang w:val="en-US" w:eastAsia="en-US"/>
        </w:rPr>
        <w:t>results</w:t>
      </w:r>
      <w:proofErr w:type="gramEnd"/>
      <w:r w:rsidR="00B576CA">
        <w:rPr>
          <w:rFonts w:asciiTheme="minorHAnsi" w:eastAsiaTheme="minorEastAsia" w:hAnsiTheme="minorHAnsi" w:cstheme="minorHAnsi"/>
          <w:sz w:val="22"/>
          <w:szCs w:val="22"/>
          <w:lang w:val="en-US" w:eastAsia="en-US"/>
        </w:rPr>
        <w:t xml:space="preserve"> in</w:t>
      </w:r>
      <w:r w:rsidR="00DA39D1">
        <w:rPr>
          <w:rFonts w:asciiTheme="minorHAnsi" w:eastAsiaTheme="minorEastAsia" w:hAnsiTheme="minorHAnsi" w:cstheme="minorHAnsi"/>
          <w:sz w:val="22"/>
          <w:szCs w:val="22"/>
          <w:lang w:val="en-US" w:eastAsia="en-US"/>
        </w:rPr>
        <w:t xml:space="preserve"> </w:t>
      </w:r>
      <w:r w:rsidR="00C27800">
        <w:rPr>
          <w:rFonts w:asciiTheme="minorHAnsi" w:eastAsiaTheme="minorEastAsia" w:hAnsiTheme="minorHAnsi" w:cstheme="minorHAnsi"/>
          <w:sz w:val="22"/>
          <w:szCs w:val="22"/>
          <w:lang w:val="en-US" w:eastAsia="en-US"/>
        </w:rPr>
        <w:t xml:space="preserve">relief, then </w:t>
      </w:r>
      <w:r w:rsidR="00137AFB">
        <w:rPr>
          <w:rFonts w:asciiTheme="minorHAnsi" w:eastAsiaTheme="minorEastAsia" w:hAnsiTheme="minorHAnsi" w:cstheme="minorHAnsi"/>
          <w:sz w:val="22"/>
          <w:szCs w:val="22"/>
          <w:lang w:val="en-US" w:eastAsia="en-US"/>
        </w:rPr>
        <w:t xml:space="preserve">it will not have a </w:t>
      </w:r>
      <w:r w:rsidR="00B576CA">
        <w:rPr>
          <w:rFonts w:asciiTheme="minorHAnsi" w:eastAsiaTheme="minorEastAsia" w:hAnsiTheme="minorHAnsi" w:cstheme="minorHAnsi"/>
          <w:sz w:val="22"/>
          <w:szCs w:val="22"/>
          <w:lang w:val="en-US" w:eastAsia="en-US"/>
        </w:rPr>
        <w:t xml:space="preserve">purpose of </w:t>
      </w:r>
      <w:r w:rsidR="00137AFB">
        <w:rPr>
          <w:rFonts w:asciiTheme="minorHAnsi" w:eastAsiaTheme="minorEastAsia" w:hAnsiTheme="minorHAnsi" w:cstheme="minorHAnsi"/>
          <w:sz w:val="22"/>
          <w:szCs w:val="22"/>
          <w:lang w:val="en-US" w:eastAsia="en-US"/>
        </w:rPr>
        <w:t>benevolent relief and will not be entitled to regist</w:t>
      </w:r>
      <w:r w:rsidR="00B576CA">
        <w:rPr>
          <w:rFonts w:asciiTheme="minorHAnsi" w:eastAsiaTheme="minorEastAsia" w:hAnsiTheme="minorHAnsi" w:cstheme="minorHAnsi"/>
          <w:sz w:val="22"/>
          <w:szCs w:val="22"/>
          <w:lang w:val="en-US" w:eastAsia="en-US"/>
        </w:rPr>
        <w:t xml:space="preserve">ration as a </w:t>
      </w:r>
      <w:r w:rsidR="00137AFB">
        <w:rPr>
          <w:rFonts w:asciiTheme="minorHAnsi" w:eastAsiaTheme="minorEastAsia" w:hAnsiTheme="minorHAnsi" w:cstheme="minorHAnsi"/>
          <w:sz w:val="22"/>
          <w:szCs w:val="22"/>
          <w:lang w:val="en-US" w:eastAsia="en-US"/>
        </w:rPr>
        <w:t>PBI.</w:t>
      </w:r>
    </w:p>
    <w:p w14:paraId="022ECDDB" w14:textId="6B2F7AEF" w:rsidR="00952ED5" w:rsidRDefault="00AE5A87" w:rsidP="000A5D5F">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There are certain activities that may further a </w:t>
      </w:r>
      <w:r w:rsidR="00A51D24">
        <w:rPr>
          <w:rFonts w:asciiTheme="minorHAnsi" w:eastAsiaTheme="minorEastAsia" w:hAnsiTheme="minorHAnsi" w:cstheme="minorHAnsi"/>
          <w:sz w:val="22"/>
          <w:szCs w:val="22"/>
          <w:lang w:val="en-US" w:eastAsia="en-US"/>
        </w:rPr>
        <w:t xml:space="preserve">purpose of </w:t>
      </w:r>
      <w:r w:rsidRPr="00DD6227">
        <w:rPr>
          <w:rFonts w:asciiTheme="minorHAnsi" w:eastAsiaTheme="minorEastAsia" w:hAnsiTheme="minorHAnsi" w:cstheme="minorHAnsi"/>
          <w:sz w:val="22"/>
          <w:szCs w:val="22"/>
          <w:lang w:val="en-US" w:eastAsia="en-US"/>
        </w:rPr>
        <w:t xml:space="preserve">benevolent relief in some circumstances, but </w:t>
      </w:r>
      <w:r w:rsidR="004A18DC">
        <w:rPr>
          <w:rFonts w:asciiTheme="minorHAnsi" w:eastAsiaTheme="minorEastAsia" w:hAnsiTheme="minorHAnsi" w:cstheme="minorHAnsi"/>
          <w:sz w:val="22"/>
          <w:szCs w:val="22"/>
          <w:lang w:val="en-US" w:eastAsia="en-US"/>
        </w:rPr>
        <w:t>not in others</w:t>
      </w:r>
      <w:r w:rsidRPr="00DD6227">
        <w:rPr>
          <w:rFonts w:asciiTheme="minorHAnsi" w:eastAsiaTheme="minorEastAsia" w:hAnsiTheme="minorHAnsi" w:cstheme="minorHAnsi"/>
          <w:sz w:val="22"/>
          <w:szCs w:val="22"/>
          <w:lang w:val="en-US" w:eastAsia="en-US"/>
        </w:rPr>
        <w:t>.</w:t>
      </w:r>
      <w:r w:rsidR="00007D65">
        <w:rPr>
          <w:rFonts w:asciiTheme="minorHAnsi" w:eastAsiaTheme="minorEastAsia" w:hAnsiTheme="minorHAnsi" w:cstheme="minorHAnsi"/>
          <w:sz w:val="22"/>
          <w:szCs w:val="22"/>
          <w:lang w:val="en-US" w:eastAsia="en-US"/>
        </w:rPr>
        <w:t xml:space="preserve"> This concept is best illustrated with examples.</w:t>
      </w:r>
      <w:r w:rsidRPr="00DD6227">
        <w:rPr>
          <w:rFonts w:asciiTheme="minorHAnsi" w:eastAsiaTheme="minorEastAsia" w:hAnsiTheme="minorHAnsi" w:cstheme="minorHAnsi"/>
          <w:sz w:val="22"/>
          <w:szCs w:val="22"/>
          <w:lang w:val="en-US" w:eastAsia="en-US"/>
        </w:rPr>
        <w:t xml:space="preserve"> </w:t>
      </w:r>
      <w:r w:rsidR="00DC08D0" w:rsidRPr="00DD6227">
        <w:rPr>
          <w:rFonts w:asciiTheme="minorHAnsi" w:eastAsiaTheme="minorEastAsia" w:hAnsiTheme="minorHAnsi" w:cstheme="minorHAnsi"/>
          <w:sz w:val="22"/>
          <w:szCs w:val="22"/>
          <w:lang w:val="en-US" w:eastAsia="en-US"/>
        </w:rPr>
        <w:t>P</w:t>
      </w:r>
      <w:r w:rsidR="006A38CC" w:rsidRPr="00DD6227">
        <w:rPr>
          <w:rFonts w:asciiTheme="minorHAnsi" w:eastAsiaTheme="minorEastAsia" w:hAnsiTheme="minorHAnsi" w:cstheme="minorHAnsi"/>
          <w:sz w:val="22"/>
          <w:szCs w:val="22"/>
          <w:lang w:val="en-US" w:eastAsia="en-US"/>
        </w:rPr>
        <w:t xml:space="preserve">roviding </w:t>
      </w:r>
      <w:r w:rsidR="00DC08D0" w:rsidRPr="00DD6227">
        <w:rPr>
          <w:rFonts w:asciiTheme="minorHAnsi" w:eastAsiaTheme="minorEastAsia" w:hAnsiTheme="minorHAnsi" w:cstheme="minorHAnsi"/>
          <w:sz w:val="22"/>
          <w:szCs w:val="22"/>
          <w:lang w:val="en-US" w:eastAsia="en-US"/>
        </w:rPr>
        <w:t>training,</w:t>
      </w:r>
      <w:r w:rsidR="006A38CC" w:rsidRPr="00DD6227">
        <w:rPr>
          <w:rFonts w:asciiTheme="minorHAnsi" w:eastAsiaTheme="minorEastAsia" w:hAnsiTheme="minorHAnsi" w:cstheme="minorHAnsi"/>
          <w:sz w:val="22"/>
          <w:szCs w:val="22"/>
          <w:lang w:val="en-US" w:eastAsia="en-US"/>
        </w:rPr>
        <w:t xml:space="preserve"> education</w:t>
      </w:r>
      <w:r w:rsidR="00DC08D0" w:rsidRPr="00DD6227">
        <w:rPr>
          <w:rFonts w:asciiTheme="minorHAnsi" w:eastAsiaTheme="minorEastAsia" w:hAnsiTheme="minorHAnsi" w:cstheme="minorHAnsi"/>
          <w:sz w:val="22"/>
          <w:szCs w:val="22"/>
          <w:lang w:val="en-US" w:eastAsia="en-US"/>
        </w:rPr>
        <w:t xml:space="preserve"> and improvement</w:t>
      </w:r>
      <w:r w:rsidR="006A38CC" w:rsidRPr="00DD6227">
        <w:rPr>
          <w:rFonts w:asciiTheme="minorHAnsi" w:eastAsiaTheme="minorEastAsia" w:hAnsiTheme="minorHAnsi" w:cstheme="minorHAnsi"/>
          <w:sz w:val="22"/>
          <w:szCs w:val="22"/>
          <w:lang w:val="en-US" w:eastAsia="en-US"/>
        </w:rPr>
        <w:t xml:space="preserve"> will not </w:t>
      </w:r>
      <w:r w:rsidR="00DF563A" w:rsidRPr="00DD6227">
        <w:rPr>
          <w:rFonts w:asciiTheme="minorHAnsi" w:eastAsiaTheme="minorEastAsia" w:hAnsiTheme="minorHAnsi" w:cstheme="minorHAnsi"/>
          <w:sz w:val="22"/>
          <w:szCs w:val="22"/>
          <w:lang w:val="en-US" w:eastAsia="en-US"/>
        </w:rPr>
        <w:t xml:space="preserve">generally </w:t>
      </w:r>
      <w:r w:rsidR="00DC08D0" w:rsidRPr="00DD6227">
        <w:rPr>
          <w:rFonts w:asciiTheme="minorHAnsi" w:eastAsiaTheme="minorEastAsia" w:hAnsiTheme="minorHAnsi" w:cstheme="minorHAnsi"/>
          <w:sz w:val="22"/>
          <w:szCs w:val="22"/>
          <w:lang w:val="en-US" w:eastAsia="en-US"/>
        </w:rPr>
        <w:t xml:space="preserve">further a </w:t>
      </w:r>
      <w:r w:rsidR="00F76ADD">
        <w:rPr>
          <w:rFonts w:asciiTheme="minorHAnsi" w:eastAsiaTheme="minorEastAsia" w:hAnsiTheme="minorHAnsi" w:cstheme="minorHAnsi"/>
          <w:sz w:val="22"/>
          <w:szCs w:val="22"/>
          <w:lang w:val="en-US" w:eastAsia="en-US"/>
        </w:rPr>
        <w:t xml:space="preserve">purpose of </w:t>
      </w:r>
      <w:r w:rsidR="00DC08D0" w:rsidRPr="00DD6227">
        <w:rPr>
          <w:rFonts w:asciiTheme="minorHAnsi" w:eastAsiaTheme="minorEastAsia" w:hAnsiTheme="minorHAnsi" w:cstheme="minorHAnsi"/>
          <w:sz w:val="22"/>
          <w:szCs w:val="22"/>
          <w:lang w:val="en-US" w:eastAsia="en-US"/>
        </w:rPr>
        <w:t>benevolent relief</w:t>
      </w:r>
      <w:r w:rsidR="00F76ADD">
        <w:rPr>
          <w:rFonts w:asciiTheme="minorHAnsi" w:eastAsiaTheme="minorEastAsia" w:hAnsiTheme="minorHAnsi" w:cstheme="minorHAnsi"/>
          <w:sz w:val="22"/>
          <w:szCs w:val="22"/>
          <w:lang w:val="en-US" w:eastAsia="en-US"/>
        </w:rPr>
        <w:t xml:space="preserve"> because </w:t>
      </w:r>
      <w:r w:rsidR="00DC08D0" w:rsidRPr="00DD6227">
        <w:rPr>
          <w:rFonts w:asciiTheme="minorHAnsi" w:eastAsiaTheme="minorEastAsia" w:hAnsiTheme="minorHAnsi" w:cstheme="minorHAnsi"/>
          <w:sz w:val="22"/>
          <w:szCs w:val="22"/>
          <w:lang w:val="en-US" w:eastAsia="en-US"/>
        </w:rPr>
        <w:t xml:space="preserve">people who seek these services generally </w:t>
      </w:r>
      <w:r w:rsidR="00F76ADD">
        <w:rPr>
          <w:rFonts w:asciiTheme="minorHAnsi" w:eastAsiaTheme="minorEastAsia" w:hAnsiTheme="minorHAnsi" w:cstheme="minorHAnsi"/>
          <w:sz w:val="22"/>
          <w:szCs w:val="22"/>
          <w:lang w:val="en-US" w:eastAsia="en-US"/>
        </w:rPr>
        <w:t xml:space="preserve">do not </w:t>
      </w:r>
      <w:r w:rsidR="00DC08D0" w:rsidRPr="00DD6227">
        <w:rPr>
          <w:rFonts w:asciiTheme="minorHAnsi" w:eastAsiaTheme="minorEastAsia" w:hAnsiTheme="minorHAnsi" w:cstheme="minorHAnsi"/>
          <w:sz w:val="22"/>
          <w:szCs w:val="22"/>
          <w:lang w:val="en-US" w:eastAsia="en-US"/>
        </w:rPr>
        <w:t xml:space="preserve">have a need that arouses compassion </w:t>
      </w:r>
      <w:r w:rsidR="005969C7">
        <w:rPr>
          <w:rFonts w:asciiTheme="minorHAnsi" w:eastAsiaTheme="minorEastAsia" w:hAnsiTheme="minorHAnsi" w:cstheme="minorHAnsi"/>
          <w:sz w:val="22"/>
          <w:szCs w:val="22"/>
          <w:lang w:val="en-US" w:eastAsia="en-US"/>
        </w:rPr>
        <w:t>with</w:t>
      </w:r>
      <w:r w:rsidR="00DC08D0" w:rsidRPr="00DD6227">
        <w:rPr>
          <w:rFonts w:asciiTheme="minorHAnsi" w:eastAsiaTheme="minorEastAsia" w:hAnsiTheme="minorHAnsi" w:cstheme="minorHAnsi"/>
          <w:sz w:val="22"/>
          <w:szCs w:val="22"/>
          <w:lang w:val="en-US" w:eastAsia="en-US"/>
        </w:rPr>
        <w:t>in the community</w:t>
      </w:r>
      <w:r w:rsidR="00DF563A" w:rsidRPr="00DD6227">
        <w:rPr>
          <w:rFonts w:asciiTheme="minorHAnsi" w:eastAsiaTheme="minorEastAsia" w:hAnsiTheme="minorHAnsi" w:cstheme="minorHAnsi"/>
          <w:sz w:val="22"/>
          <w:szCs w:val="22"/>
          <w:lang w:val="en-US" w:eastAsia="en-US"/>
        </w:rPr>
        <w:t>.</w:t>
      </w:r>
      <w:r w:rsidR="00DF563A" w:rsidRPr="00DD6227">
        <w:rPr>
          <w:rStyle w:val="FootnoteReference"/>
          <w:rFonts w:asciiTheme="minorHAnsi" w:eastAsiaTheme="minorEastAsia" w:hAnsiTheme="minorHAnsi" w:cstheme="minorHAnsi"/>
          <w:sz w:val="22"/>
          <w:szCs w:val="22"/>
          <w:lang w:val="en-US" w:eastAsia="en-US"/>
        </w:rPr>
        <w:footnoteReference w:id="24"/>
      </w:r>
      <w:r w:rsidR="00DC08D0" w:rsidRPr="00DD6227">
        <w:rPr>
          <w:rFonts w:asciiTheme="minorHAnsi" w:eastAsiaTheme="minorEastAsia" w:hAnsiTheme="minorHAnsi" w:cstheme="minorHAnsi"/>
          <w:sz w:val="22"/>
          <w:szCs w:val="22"/>
          <w:lang w:val="en-US" w:eastAsia="en-US"/>
        </w:rPr>
        <w:t xml:space="preserve"> </w:t>
      </w:r>
      <w:r w:rsidR="00A475BF" w:rsidRPr="00DD6227">
        <w:rPr>
          <w:rFonts w:asciiTheme="minorHAnsi" w:eastAsiaTheme="minorEastAsia" w:hAnsiTheme="minorHAnsi" w:cstheme="minorHAnsi"/>
          <w:sz w:val="22"/>
          <w:szCs w:val="22"/>
          <w:lang w:val="en-US" w:eastAsia="en-US"/>
        </w:rPr>
        <w:t xml:space="preserve">However, if the target beneficiaries </w:t>
      </w:r>
      <w:r w:rsidR="00EF79E4" w:rsidRPr="00DD6227">
        <w:rPr>
          <w:rFonts w:asciiTheme="minorHAnsi" w:eastAsiaTheme="minorEastAsia" w:hAnsiTheme="minorHAnsi" w:cstheme="minorHAnsi"/>
          <w:sz w:val="22"/>
          <w:szCs w:val="22"/>
          <w:lang w:val="en-US" w:eastAsia="en-US"/>
        </w:rPr>
        <w:t xml:space="preserve">have needs that would arouse compassion </w:t>
      </w:r>
      <w:r w:rsidR="005969C7">
        <w:rPr>
          <w:rFonts w:asciiTheme="minorHAnsi" w:eastAsiaTheme="minorEastAsia" w:hAnsiTheme="minorHAnsi" w:cstheme="minorHAnsi"/>
          <w:sz w:val="22"/>
          <w:szCs w:val="22"/>
          <w:lang w:val="en-US" w:eastAsia="en-US"/>
        </w:rPr>
        <w:t>within</w:t>
      </w:r>
      <w:r w:rsidR="005969C7" w:rsidRPr="00DD6227">
        <w:rPr>
          <w:rFonts w:asciiTheme="minorHAnsi" w:eastAsiaTheme="minorEastAsia" w:hAnsiTheme="minorHAnsi" w:cstheme="minorHAnsi"/>
          <w:sz w:val="22"/>
          <w:szCs w:val="22"/>
          <w:lang w:val="en-US" w:eastAsia="en-US"/>
        </w:rPr>
        <w:t xml:space="preserve"> </w:t>
      </w:r>
      <w:r w:rsidR="00EF79E4" w:rsidRPr="00DD6227">
        <w:rPr>
          <w:rFonts w:asciiTheme="minorHAnsi" w:eastAsiaTheme="minorEastAsia" w:hAnsiTheme="minorHAnsi" w:cstheme="minorHAnsi"/>
          <w:sz w:val="22"/>
          <w:szCs w:val="22"/>
          <w:lang w:val="en-US" w:eastAsia="en-US"/>
        </w:rPr>
        <w:t xml:space="preserve">the community, and </w:t>
      </w:r>
      <w:r w:rsidR="008867A4" w:rsidRPr="00DD6227">
        <w:rPr>
          <w:rFonts w:asciiTheme="minorHAnsi" w:eastAsiaTheme="minorEastAsia" w:hAnsiTheme="minorHAnsi" w:cstheme="minorHAnsi"/>
          <w:sz w:val="22"/>
          <w:szCs w:val="22"/>
          <w:lang w:val="en-US" w:eastAsia="en-US"/>
        </w:rPr>
        <w:t>the charity seeks to relieve the distress arising from those needs through</w:t>
      </w:r>
      <w:r w:rsidR="00EF79E4" w:rsidRPr="00DD6227">
        <w:rPr>
          <w:rFonts w:asciiTheme="minorHAnsi" w:eastAsiaTheme="minorEastAsia" w:hAnsiTheme="minorHAnsi" w:cstheme="minorHAnsi"/>
          <w:sz w:val="22"/>
          <w:szCs w:val="22"/>
          <w:lang w:val="en-US" w:eastAsia="en-US"/>
        </w:rPr>
        <w:t xml:space="preserve"> training or educational activities, </w:t>
      </w:r>
      <w:r w:rsidR="00542568">
        <w:rPr>
          <w:rFonts w:asciiTheme="minorHAnsi" w:eastAsiaTheme="minorEastAsia" w:hAnsiTheme="minorHAnsi" w:cstheme="minorHAnsi"/>
          <w:sz w:val="22"/>
          <w:szCs w:val="22"/>
          <w:lang w:val="en-US" w:eastAsia="en-US"/>
        </w:rPr>
        <w:t>it</w:t>
      </w:r>
      <w:r w:rsidR="00EF79E4" w:rsidRPr="00DD6227">
        <w:rPr>
          <w:rFonts w:asciiTheme="minorHAnsi" w:eastAsiaTheme="minorEastAsia" w:hAnsiTheme="minorHAnsi" w:cstheme="minorHAnsi"/>
          <w:sz w:val="22"/>
          <w:szCs w:val="22"/>
          <w:lang w:val="en-US" w:eastAsia="en-US"/>
        </w:rPr>
        <w:t xml:space="preserve"> </w:t>
      </w:r>
      <w:r w:rsidR="00542568">
        <w:rPr>
          <w:rFonts w:asciiTheme="minorHAnsi" w:eastAsiaTheme="minorEastAsia" w:hAnsiTheme="minorHAnsi" w:cstheme="minorHAnsi"/>
          <w:sz w:val="22"/>
          <w:szCs w:val="22"/>
          <w:lang w:val="en-US" w:eastAsia="en-US"/>
        </w:rPr>
        <w:t>is</w:t>
      </w:r>
      <w:r w:rsidR="00542568" w:rsidRPr="00DD6227">
        <w:rPr>
          <w:rFonts w:asciiTheme="minorHAnsi" w:eastAsiaTheme="minorEastAsia" w:hAnsiTheme="minorHAnsi" w:cstheme="minorHAnsi"/>
          <w:sz w:val="22"/>
          <w:szCs w:val="22"/>
          <w:lang w:val="en-US" w:eastAsia="en-US"/>
        </w:rPr>
        <w:t xml:space="preserve"> </w:t>
      </w:r>
      <w:r w:rsidR="008867A4" w:rsidRPr="00DD6227">
        <w:rPr>
          <w:rFonts w:asciiTheme="minorHAnsi" w:eastAsiaTheme="minorEastAsia" w:hAnsiTheme="minorHAnsi" w:cstheme="minorHAnsi"/>
          <w:sz w:val="22"/>
          <w:szCs w:val="22"/>
          <w:lang w:val="en-US" w:eastAsia="en-US"/>
        </w:rPr>
        <w:t>likely</w:t>
      </w:r>
      <w:r w:rsidR="00EF79E4" w:rsidRPr="00DD6227">
        <w:rPr>
          <w:rFonts w:asciiTheme="minorHAnsi" w:eastAsiaTheme="minorEastAsia" w:hAnsiTheme="minorHAnsi" w:cstheme="minorHAnsi"/>
          <w:sz w:val="22"/>
          <w:szCs w:val="22"/>
          <w:lang w:val="en-US" w:eastAsia="en-US"/>
        </w:rPr>
        <w:t xml:space="preserve"> have a </w:t>
      </w:r>
      <w:r w:rsidR="00542568">
        <w:rPr>
          <w:rFonts w:asciiTheme="minorHAnsi" w:eastAsiaTheme="minorEastAsia" w:hAnsiTheme="minorHAnsi" w:cstheme="minorHAnsi"/>
          <w:sz w:val="22"/>
          <w:szCs w:val="22"/>
          <w:lang w:val="en-US" w:eastAsia="en-US"/>
        </w:rPr>
        <w:t xml:space="preserve">purpose of </w:t>
      </w:r>
      <w:r w:rsidR="00EF79E4" w:rsidRPr="00DD6227">
        <w:rPr>
          <w:rFonts w:asciiTheme="minorHAnsi" w:eastAsiaTheme="minorEastAsia" w:hAnsiTheme="minorHAnsi" w:cstheme="minorHAnsi"/>
          <w:sz w:val="22"/>
          <w:szCs w:val="22"/>
          <w:lang w:val="en-US" w:eastAsia="en-US"/>
        </w:rPr>
        <w:t xml:space="preserve">benevolent relief. </w:t>
      </w:r>
      <w:r w:rsidRPr="00DD6227">
        <w:rPr>
          <w:rFonts w:asciiTheme="minorHAnsi" w:eastAsiaTheme="minorEastAsia" w:hAnsiTheme="minorHAnsi" w:cstheme="minorHAnsi"/>
          <w:sz w:val="22"/>
          <w:szCs w:val="22"/>
          <w:lang w:val="en-US" w:eastAsia="en-US"/>
        </w:rPr>
        <w:t xml:space="preserve">For example, </w:t>
      </w:r>
      <w:r w:rsidR="008E6EF8">
        <w:rPr>
          <w:rFonts w:asciiTheme="minorHAnsi" w:eastAsiaTheme="minorEastAsia" w:hAnsiTheme="minorHAnsi" w:cstheme="minorHAnsi"/>
          <w:sz w:val="22"/>
          <w:szCs w:val="22"/>
          <w:lang w:val="en-US" w:eastAsia="en-US"/>
        </w:rPr>
        <w:t>operat</w:t>
      </w:r>
      <w:r w:rsidR="008E6EF8" w:rsidRPr="00DD6227">
        <w:rPr>
          <w:rFonts w:asciiTheme="minorHAnsi" w:eastAsiaTheme="minorEastAsia" w:hAnsiTheme="minorHAnsi" w:cstheme="minorHAnsi"/>
          <w:sz w:val="22"/>
          <w:szCs w:val="22"/>
          <w:lang w:val="en-US" w:eastAsia="en-US"/>
        </w:rPr>
        <w:t xml:space="preserve">ing </w:t>
      </w:r>
      <w:r w:rsidRPr="00DD6227">
        <w:rPr>
          <w:rFonts w:asciiTheme="minorHAnsi" w:eastAsiaTheme="minorEastAsia" w:hAnsiTheme="minorHAnsi" w:cstheme="minorHAnsi"/>
          <w:sz w:val="22"/>
          <w:szCs w:val="22"/>
          <w:lang w:val="en-US" w:eastAsia="en-US"/>
        </w:rPr>
        <w:t xml:space="preserve">a primary school in </w:t>
      </w:r>
      <w:r w:rsidR="00A874A6" w:rsidRPr="00DD6227">
        <w:rPr>
          <w:rFonts w:asciiTheme="minorHAnsi" w:eastAsiaTheme="minorEastAsia" w:hAnsiTheme="minorHAnsi" w:cstheme="minorHAnsi"/>
          <w:sz w:val="22"/>
          <w:szCs w:val="22"/>
          <w:lang w:val="en-US" w:eastAsia="en-US"/>
        </w:rPr>
        <w:t xml:space="preserve">a </w:t>
      </w:r>
      <w:r w:rsidR="00DA02E0" w:rsidRPr="00DD6227">
        <w:rPr>
          <w:rFonts w:asciiTheme="minorHAnsi" w:eastAsiaTheme="minorEastAsia" w:hAnsiTheme="minorHAnsi" w:cstheme="minorHAnsi"/>
          <w:sz w:val="22"/>
          <w:szCs w:val="22"/>
          <w:lang w:val="en-US" w:eastAsia="en-US"/>
        </w:rPr>
        <w:t xml:space="preserve">major </w:t>
      </w:r>
      <w:r w:rsidR="00A874A6" w:rsidRPr="00DD6227">
        <w:rPr>
          <w:rFonts w:asciiTheme="minorHAnsi" w:eastAsiaTheme="minorEastAsia" w:hAnsiTheme="minorHAnsi" w:cstheme="minorHAnsi"/>
          <w:sz w:val="22"/>
          <w:szCs w:val="22"/>
          <w:lang w:val="en-US" w:eastAsia="en-US"/>
        </w:rPr>
        <w:t xml:space="preserve">city of Australia is unlikely to further any </w:t>
      </w:r>
      <w:r w:rsidR="000B4059">
        <w:rPr>
          <w:rFonts w:asciiTheme="minorHAnsi" w:eastAsiaTheme="minorEastAsia" w:hAnsiTheme="minorHAnsi" w:cstheme="minorHAnsi"/>
          <w:sz w:val="22"/>
          <w:szCs w:val="22"/>
          <w:lang w:val="en-US" w:eastAsia="en-US"/>
        </w:rPr>
        <w:t xml:space="preserve">purpose of </w:t>
      </w:r>
      <w:r w:rsidR="00A874A6" w:rsidRPr="00DD6227">
        <w:rPr>
          <w:rFonts w:asciiTheme="minorHAnsi" w:eastAsiaTheme="minorEastAsia" w:hAnsiTheme="minorHAnsi" w:cstheme="minorHAnsi"/>
          <w:sz w:val="22"/>
          <w:szCs w:val="22"/>
          <w:lang w:val="en-US" w:eastAsia="en-US"/>
        </w:rPr>
        <w:t xml:space="preserve">benevolent relief </w:t>
      </w:r>
      <w:r w:rsidR="006A6A3B">
        <w:rPr>
          <w:rFonts w:asciiTheme="minorHAnsi" w:eastAsiaTheme="minorEastAsia" w:hAnsiTheme="minorHAnsi" w:cstheme="minorHAnsi"/>
          <w:sz w:val="22"/>
          <w:szCs w:val="22"/>
          <w:lang w:val="en-US" w:eastAsia="en-US"/>
        </w:rPr>
        <w:t>because</w:t>
      </w:r>
      <w:r w:rsidR="00DA02E0" w:rsidRPr="00DD6227">
        <w:rPr>
          <w:rFonts w:asciiTheme="minorHAnsi" w:eastAsiaTheme="minorEastAsia" w:hAnsiTheme="minorHAnsi" w:cstheme="minorHAnsi"/>
          <w:sz w:val="22"/>
          <w:szCs w:val="22"/>
          <w:lang w:val="en-US" w:eastAsia="en-US"/>
        </w:rPr>
        <w:t xml:space="preserve"> Australian cities have many public schools</w:t>
      </w:r>
      <w:r w:rsidR="00B95492" w:rsidRPr="00DD6227">
        <w:rPr>
          <w:rFonts w:asciiTheme="minorHAnsi" w:eastAsiaTheme="minorEastAsia" w:hAnsiTheme="minorHAnsi" w:cstheme="minorHAnsi"/>
          <w:sz w:val="22"/>
          <w:szCs w:val="22"/>
          <w:lang w:val="en-US" w:eastAsia="en-US"/>
        </w:rPr>
        <w:t xml:space="preserve"> that children </w:t>
      </w:r>
      <w:r w:rsidR="003357C8">
        <w:rPr>
          <w:rFonts w:asciiTheme="minorHAnsi" w:eastAsiaTheme="minorEastAsia" w:hAnsiTheme="minorHAnsi" w:cstheme="minorHAnsi"/>
          <w:sz w:val="22"/>
          <w:szCs w:val="22"/>
          <w:lang w:val="en-US" w:eastAsia="en-US"/>
        </w:rPr>
        <w:t xml:space="preserve">can </w:t>
      </w:r>
      <w:r w:rsidR="00B95492" w:rsidRPr="00DD6227">
        <w:rPr>
          <w:rFonts w:asciiTheme="minorHAnsi" w:eastAsiaTheme="minorEastAsia" w:hAnsiTheme="minorHAnsi" w:cstheme="minorHAnsi"/>
          <w:sz w:val="22"/>
          <w:szCs w:val="22"/>
          <w:lang w:val="en-US" w:eastAsia="en-US"/>
        </w:rPr>
        <w:t>attend</w:t>
      </w:r>
      <w:r w:rsidR="00087046" w:rsidRPr="00DD6227">
        <w:rPr>
          <w:rFonts w:asciiTheme="minorHAnsi" w:eastAsiaTheme="minorEastAsia" w:hAnsiTheme="minorHAnsi" w:cstheme="minorHAnsi"/>
          <w:sz w:val="22"/>
          <w:szCs w:val="22"/>
          <w:lang w:val="en-US" w:eastAsia="en-US"/>
        </w:rPr>
        <w:t xml:space="preserve">. However, </w:t>
      </w:r>
      <w:r w:rsidR="00A10A27">
        <w:rPr>
          <w:rFonts w:asciiTheme="minorHAnsi" w:eastAsiaTheme="minorEastAsia" w:hAnsiTheme="minorHAnsi" w:cstheme="minorHAnsi"/>
          <w:sz w:val="22"/>
          <w:szCs w:val="22"/>
          <w:lang w:val="en-US" w:eastAsia="en-US"/>
        </w:rPr>
        <w:t>operat</w:t>
      </w:r>
      <w:r w:rsidR="00A10A27" w:rsidRPr="00DD6227">
        <w:rPr>
          <w:rFonts w:asciiTheme="minorHAnsi" w:eastAsiaTheme="minorEastAsia" w:hAnsiTheme="minorHAnsi" w:cstheme="minorHAnsi"/>
          <w:sz w:val="22"/>
          <w:szCs w:val="22"/>
          <w:lang w:val="en-US" w:eastAsia="en-US"/>
        </w:rPr>
        <w:t xml:space="preserve">ing </w:t>
      </w:r>
      <w:r w:rsidR="00087046" w:rsidRPr="00DD6227">
        <w:rPr>
          <w:rFonts w:asciiTheme="minorHAnsi" w:eastAsiaTheme="minorEastAsia" w:hAnsiTheme="minorHAnsi" w:cstheme="minorHAnsi"/>
          <w:sz w:val="22"/>
          <w:szCs w:val="22"/>
          <w:lang w:val="en-US" w:eastAsia="en-US"/>
        </w:rPr>
        <w:t>a primary school in a remote area</w:t>
      </w:r>
      <w:r w:rsidR="00DA02E0" w:rsidRPr="00DD6227">
        <w:rPr>
          <w:rFonts w:asciiTheme="minorHAnsi" w:eastAsiaTheme="minorEastAsia" w:hAnsiTheme="minorHAnsi" w:cstheme="minorHAnsi"/>
          <w:sz w:val="22"/>
          <w:szCs w:val="22"/>
          <w:lang w:val="en-US" w:eastAsia="en-US"/>
        </w:rPr>
        <w:t xml:space="preserve"> of Australia</w:t>
      </w:r>
      <w:r w:rsidR="00087046" w:rsidRPr="00DD6227">
        <w:rPr>
          <w:rFonts w:asciiTheme="minorHAnsi" w:eastAsiaTheme="minorEastAsia" w:hAnsiTheme="minorHAnsi" w:cstheme="minorHAnsi"/>
          <w:sz w:val="22"/>
          <w:szCs w:val="22"/>
          <w:lang w:val="en-US" w:eastAsia="en-US"/>
        </w:rPr>
        <w:t xml:space="preserve"> for children who would otherwise miss out on</w:t>
      </w:r>
      <w:r w:rsidR="0022409D" w:rsidRPr="00DD6227">
        <w:rPr>
          <w:rFonts w:asciiTheme="minorHAnsi" w:eastAsiaTheme="minorEastAsia" w:hAnsiTheme="minorHAnsi" w:cstheme="minorHAnsi"/>
          <w:sz w:val="22"/>
          <w:szCs w:val="22"/>
          <w:lang w:val="en-US" w:eastAsia="en-US"/>
        </w:rPr>
        <w:t xml:space="preserve"> attending primary</w:t>
      </w:r>
      <w:r w:rsidR="00087046" w:rsidRPr="00DD6227">
        <w:rPr>
          <w:rFonts w:asciiTheme="minorHAnsi" w:eastAsiaTheme="minorEastAsia" w:hAnsiTheme="minorHAnsi" w:cstheme="minorHAnsi"/>
          <w:sz w:val="22"/>
          <w:szCs w:val="22"/>
          <w:lang w:val="en-US" w:eastAsia="en-US"/>
        </w:rPr>
        <w:t xml:space="preserve"> schooling may be a </w:t>
      </w:r>
      <w:r w:rsidR="000B4059">
        <w:rPr>
          <w:rFonts w:asciiTheme="minorHAnsi" w:eastAsiaTheme="minorEastAsia" w:hAnsiTheme="minorHAnsi" w:cstheme="minorHAnsi"/>
          <w:sz w:val="22"/>
          <w:szCs w:val="22"/>
          <w:lang w:val="en-US" w:eastAsia="en-US"/>
        </w:rPr>
        <w:t xml:space="preserve">purpose of </w:t>
      </w:r>
      <w:r w:rsidR="00087046" w:rsidRPr="00DD6227">
        <w:rPr>
          <w:rFonts w:asciiTheme="minorHAnsi" w:eastAsiaTheme="minorEastAsia" w:hAnsiTheme="minorHAnsi" w:cstheme="minorHAnsi"/>
          <w:sz w:val="22"/>
          <w:szCs w:val="22"/>
          <w:lang w:val="en-US" w:eastAsia="en-US"/>
        </w:rPr>
        <w:lastRenderedPageBreak/>
        <w:t>benevolent relief purpose</w:t>
      </w:r>
      <w:r w:rsidR="000B4059">
        <w:rPr>
          <w:rFonts w:asciiTheme="minorHAnsi" w:eastAsiaTheme="minorEastAsia" w:hAnsiTheme="minorHAnsi" w:cstheme="minorHAnsi"/>
          <w:sz w:val="22"/>
          <w:szCs w:val="22"/>
          <w:lang w:val="en-US" w:eastAsia="en-US"/>
        </w:rPr>
        <w:t xml:space="preserve"> because </w:t>
      </w:r>
      <w:r w:rsidR="00087046" w:rsidRPr="00DD6227">
        <w:rPr>
          <w:rFonts w:asciiTheme="minorHAnsi" w:eastAsiaTheme="minorEastAsia" w:hAnsiTheme="minorHAnsi" w:cstheme="minorHAnsi"/>
          <w:sz w:val="22"/>
          <w:szCs w:val="22"/>
          <w:lang w:val="en-US" w:eastAsia="en-US"/>
        </w:rPr>
        <w:t xml:space="preserve">the children it benefits suffer from a disadvantage </w:t>
      </w:r>
      <w:r w:rsidR="008D6EA6">
        <w:rPr>
          <w:rFonts w:asciiTheme="minorHAnsi" w:eastAsiaTheme="minorEastAsia" w:hAnsiTheme="minorHAnsi" w:cstheme="minorHAnsi"/>
          <w:sz w:val="22"/>
          <w:szCs w:val="22"/>
          <w:lang w:val="en-US" w:eastAsia="en-US"/>
        </w:rPr>
        <w:t xml:space="preserve">in accessing education </w:t>
      </w:r>
      <w:r w:rsidR="00087046" w:rsidRPr="00DD6227">
        <w:rPr>
          <w:rFonts w:asciiTheme="minorHAnsi" w:eastAsiaTheme="minorEastAsia" w:hAnsiTheme="minorHAnsi" w:cstheme="minorHAnsi"/>
          <w:sz w:val="22"/>
          <w:szCs w:val="22"/>
          <w:lang w:val="en-US" w:eastAsia="en-US"/>
        </w:rPr>
        <w:t xml:space="preserve">compared </w:t>
      </w:r>
      <w:r w:rsidR="000B4059">
        <w:rPr>
          <w:rFonts w:asciiTheme="minorHAnsi" w:eastAsiaTheme="minorEastAsia" w:hAnsiTheme="minorHAnsi" w:cstheme="minorHAnsi"/>
          <w:sz w:val="22"/>
          <w:szCs w:val="22"/>
          <w:lang w:val="en-US" w:eastAsia="en-US"/>
        </w:rPr>
        <w:t>to</w:t>
      </w:r>
      <w:r w:rsidR="000B4059" w:rsidRPr="00DD6227">
        <w:rPr>
          <w:rFonts w:asciiTheme="minorHAnsi" w:eastAsiaTheme="minorEastAsia" w:hAnsiTheme="minorHAnsi" w:cstheme="minorHAnsi"/>
          <w:sz w:val="22"/>
          <w:szCs w:val="22"/>
          <w:lang w:val="en-US" w:eastAsia="en-US"/>
        </w:rPr>
        <w:t xml:space="preserve"> </w:t>
      </w:r>
      <w:r w:rsidR="00087046" w:rsidRPr="00DD6227">
        <w:rPr>
          <w:rFonts w:asciiTheme="minorHAnsi" w:eastAsiaTheme="minorEastAsia" w:hAnsiTheme="minorHAnsi" w:cstheme="minorHAnsi"/>
          <w:sz w:val="22"/>
          <w:szCs w:val="22"/>
          <w:lang w:val="en-US" w:eastAsia="en-US"/>
        </w:rPr>
        <w:t>children in major citie</w:t>
      </w:r>
      <w:r w:rsidR="008551A8" w:rsidRPr="00DD6227">
        <w:rPr>
          <w:rFonts w:asciiTheme="minorHAnsi" w:eastAsiaTheme="minorEastAsia" w:hAnsiTheme="minorHAnsi" w:cstheme="minorHAnsi"/>
          <w:sz w:val="22"/>
          <w:szCs w:val="22"/>
          <w:lang w:val="en-US" w:eastAsia="en-US"/>
        </w:rPr>
        <w:t>s.</w:t>
      </w:r>
    </w:p>
    <w:p w14:paraId="0DC9FE32" w14:textId="5D1F2AAA" w:rsidR="00442AF9" w:rsidRPr="00442AF9" w:rsidRDefault="00442AF9" w:rsidP="00442AF9">
      <w:pPr>
        <w:pStyle w:val="ListParagraph"/>
        <w:spacing w:before="120" w:after="120" w:line="276" w:lineRule="auto"/>
        <w:ind w:left="930"/>
        <w:textAlignment w:val="baseline"/>
        <w:rPr>
          <w:rFonts w:asciiTheme="minorHAnsi" w:eastAsiaTheme="minorEastAsia" w:hAnsiTheme="minorHAnsi" w:cstheme="minorHAnsi"/>
          <w:sz w:val="22"/>
          <w:szCs w:val="22"/>
          <w:u w:val="single"/>
          <w:lang w:val="en-US" w:eastAsia="en-US"/>
        </w:rPr>
      </w:pPr>
      <w:r w:rsidRPr="00442AF9">
        <w:rPr>
          <w:rFonts w:asciiTheme="minorHAnsi" w:eastAsiaTheme="minorEastAsia" w:hAnsiTheme="minorHAnsi" w:cstheme="minorHAnsi"/>
          <w:sz w:val="22"/>
          <w:szCs w:val="22"/>
          <w:u w:val="single"/>
          <w:lang w:val="en-US" w:eastAsia="en-US"/>
        </w:rPr>
        <w:t>Nature of relief</w:t>
      </w:r>
    </w:p>
    <w:p w14:paraId="366BAE56" w14:textId="1C9A71F1" w:rsidR="00481B33" w:rsidRPr="00DD6227" w:rsidRDefault="00FC169C" w:rsidP="00B4491C">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Pr>
          <w:rFonts w:asciiTheme="minorHAnsi" w:eastAsiaTheme="minorEastAsia" w:hAnsiTheme="minorHAnsi" w:cstheme="minorHAnsi"/>
          <w:sz w:val="22"/>
          <w:szCs w:val="22"/>
          <w:lang w:val="en-US" w:eastAsia="en-US"/>
        </w:rPr>
        <w:t>T</w:t>
      </w:r>
      <w:r w:rsidR="0040749D" w:rsidRPr="00DD6227">
        <w:rPr>
          <w:rFonts w:asciiTheme="minorHAnsi" w:eastAsiaTheme="minorEastAsia" w:hAnsiTheme="minorHAnsi" w:cstheme="minorHAnsi"/>
          <w:sz w:val="22"/>
          <w:szCs w:val="22"/>
          <w:lang w:val="en-US" w:eastAsia="en-US"/>
        </w:rPr>
        <w:t xml:space="preserve">he relief </w:t>
      </w:r>
      <w:r w:rsidR="008551A8" w:rsidRPr="00DD6227">
        <w:rPr>
          <w:rFonts w:asciiTheme="minorHAnsi" w:eastAsiaTheme="minorEastAsia" w:hAnsiTheme="minorHAnsi" w:cstheme="minorHAnsi"/>
          <w:sz w:val="22"/>
          <w:szCs w:val="22"/>
          <w:lang w:val="en-US" w:eastAsia="en-US"/>
        </w:rPr>
        <w:t xml:space="preserve">a PBI provides </w:t>
      </w:r>
      <w:r w:rsidR="00144F82" w:rsidRPr="00DD6227">
        <w:rPr>
          <w:rFonts w:asciiTheme="minorHAnsi" w:eastAsiaTheme="minorEastAsia" w:hAnsiTheme="minorHAnsi" w:cstheme="minorHAnsi"/>
          <w:sz w:val="22"/>
          <w:szCs w:val="22"/>
          <w:lang w:val="en-US" w:eastAsia="en-US"/>
        </w:rPr>
        <w:t>does not need to be material in nature. For example</w:t>
      </w:r>
      <w:r w:rsidR="00481B33" w:rsidRPr="00DD6227">
        <w:rPr>
          <w:rFonts w:asciiTheme="minorHAnsi" w:eastAsiaTheme="minorEastAsia" w:hAnsiTheme="minorHAnsi" w:cstheme="minorHAnsi"/>
          <w:sz w:val="22"/>
          <w:szCs w:val="22"/>
          <w:lang w:val="en-US" w:eastAsia="en-US"/>
        </w:rPr>
        <w:t>:</w:t>
      </w:r>
      <w:r w:rsidR="00144F82" w:rsidRPr="00DD6227">
        <w:rPr>
          <w:rFonts w:asciiTheme="minorHAnsi" w:eastAsiaTheme="minorEastAsia" w:hAnsiTheme="minorHAnsi" w:cstheme="minorHAnsi"/>
          <w:sz w:val="22"/>
          <w:szCs w:val="22"/>
          <w:lang w:val="en-US" w:eastAsia="en-US"/>
        </w:rPr>
        <w:t xml:space="preserve"> </w:t>
      </w:r>
    </w:p>
    <w:p w14:paraId="52849246" w14:textId="739C1292" w:rsidR="00481B33" w:rsidRPr="00DD6227" w:rsidRDefault="00144F82" w:rsidP="00481B33">
      <w:pPr>
        <w:pStyle w:val="ListParagraph"/>
        <w:numPr>
          <w:ilvl w:val="1"/>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in </w:t>
      </w:r>
      <w:r w:rsidR="00930C94" w:rsidRPr="00DD6227">
        <w:rPr>
          <w:rFonts w:asciiTheme="minorHAnsi" w:eastAsiaTheme="minorEastAsia" w:hAnsiTheme="minorHAnsi" w:cstheme="minorHAnsi"/>
          <w:i/>
          <w:iCs/>
          <w:sz w:val="22"/>
          <w:szCs w:val="22"/>
          <w:lang w:val="en-US" w:eastAsia="en-US"/>
        </w:rPr>
        <w:t>Federal Commissioner of Taxation v Launceston Legacy</w:t>
      </w:r>
      <w:r w:rsidRPr="00DD6227">
        <w:rPr>
          <w:rFonts w:asciiTheme="minorHAnsi" w:eastAsiaTheme="minorEastAsia" w:hAnsiTheme="minorHAnsi" w:cstheme="minorHAnsi"/>
          <w:sz w:val="22"/>
          <w:szCs w:val="22"/>
          <w:lang w:val="en-US" w:eastAsia="en-US"/>
        </w:rPr>
        <w:t xml:space="preserve">, the </w:t>
      </w:r>
      <w:r w:rsidR="00185120" w:rsidRPr="00DD6227">
        <w:rPr>
          <w:rFonts w:asciiTheme="minorHAnsi" w:eastAsiaTheme="minorEastAsia" w:hAnsiTheme="minorHAnsi" w:cstheme="minorHAnsi"/>
          <w:sz w:val="22"/>
          <w:szCs w:val="22"/>
          <w:lang w:val="en-US" w:eastAsia="en-US"/>
        </w:rPr>
        <w:t>Administrative Appeals Tribunal</w:t>
      </w:r>
      <w:r w:rsidRPr="00DD6227">
        <w:rPr>
          <w:rFonts w:asciiTheme="minorHAnsi" w:eastAsiaTheme="minorEastAsia" w:hAnsiTheme="minorHAnsi" w:cstheme="minorHAnsi"/>
          <w:sz w:val="22"/>
          <w:szCs w:val="22"/>
          <w:lang w:val="en-US" w:eastAsia="en-US"/>
        </w:rPr>
        <w:t xml:space="preserve"> found that the </w:t>
      </w:r>
      <w:r w:rsidR="00E13766" w:rsidRPr="00DD6227">
        <w:rPr>
          <w:rFonts w:asciiTheme="minorHAnsi" w:eastAsiaTheme="minorEastAsia" w:hAnsiTheme="minorHAnsi" w:cstheme="minorHAnsi"/>
          <w:sz w:val="22"/>
          <w:szCs w:val="22"/>
          <w:lang w:val="en-US" w:eastAsia="en-US"/>
        </w:rPr>
        <w:t>char</w:t>
      </w:r>
      <w:r w:rsidRPr="00DD6227">
        <w:rPr>
          <w:rFonts w:asciiTheme="minorHAnsi" w:eastAsiaTheme="minorEastAsia" w:hAnsiTheme="minorHAnsi" w:cstheme="minorHAnsi"/>
          <w:sz w:val="22"/>
          <w:szCs w:val="22"/>
          <w:lang w:val="en-US" w:eastAsia="en-US"/>
        </w:rPr>
        <w:t>ity had a purpose of providing benevolent relief</w:t>
      </w:r>
      <w:r w:rsidR="00973033" w:rsidRPr="00DD6227">
        <w:rPr>
          <w:rFonts w:asciiTheme="minorHAnsi" w:eastAsiaTheme="minorEastAsia" w:hAnsiTheme="minorHAnsi" w:cstheme="minorHAnsi"/>
          <w:sz w:val="22"/>
          <w:szCs w:val="22"/>
          <w:lang w:val="en-US" w:eastAsia="en-US"/>
        </w:rPr>
        <w:t>.</w:t>
      </w:r>
      <w:r w:rsidR="00474281">
        <w:rPr>
          <w:rStyle w:val="FootnoteReference"/>
          <w:rFonts w:asciiTheme="minorHAnsi" w:eastAsiaTheme="minorEastAsia" w:hAnsiTheme="minorHAnsi" w:cstheme="minorHAnsi"/>
          <w:sz w:val="22"/>
          <w:szCs w:val="22"/>
          <w:lang w:val="en-US" w:eastAsia="en-US"/>
        </w:rPr>
        <w:footnoteReference w:id="25"/>
      </w:r>
      <w:r w:rsidR="00831F2E" w:rsidRPr="00DD6227">
        <w:rPr>
          <w:rFonts w:asciiTheme="minorHAnsi" w:eastAsiaTheme="minorEastAsia" w:hAnsiTheme="minorHAnsi" w:cstheme="minorHAnsi"/>
          <w:sz w:val="22"/>
          <w:szCs w:val="22"/>
          <w:lang w:val="en-US" w:eastAsia="en-US"/>
        </w:rPr>
        <w:t xml:space="preserve"> </w:t>
      </w:r>
      <w:r w:rsidR="00F820BB">
        <w:rPr>
          <w:rFonts w:asciiTheme="minorHAnsi" w:eastAsiaTheme="minorEastAsia" w:hAnsiTheme="minorHAnsi" w:cstheme="minorHAnsi"/>
          <w:sz w:val="22"/>
          <w:szCs w:val="22"/>
          <w:lang w:val="en-US" w:eastAsia="en-US"/>
        </w:rPr>
        <w:t xml:space="preserve">The charity carried out its purpose by </w:t>
      </w:r>
      <w:r w:rsidR="001F2DED">
        <w:rPr>
          <w:rFonts w:asciiTheme="minorHAnsi" w:eastAsiaTheme="minorEastAsia" w:hAnsiTheme="minorHAnsi" w:cstheme="minorHAnsi"/>
          <w:sz w:val="22"/>
          <w:szCs w:val="22"/>
          <w:lang w:val="en-US" w:eastAsia="en-US"/>
        </w:rPr>
        <w:t xml:space="preserve">having </w:t>
      </w:r>
      <w:r w:rsidR="007C2713">
        <w:rPr>
          <w:rFonts w:asciiTheme="minorHAnsi" w:eastAsiaTheme="minorEastAsia" w:hAnsiTheme="minorHAnsi" w:cstheme="minorHAnsi"/>
          <w:sz w:val="22"/>
          <w:szCs w:val="22"/>
          <w:lang w:val="en-US" w:eastAsia="en-US"/>
        </w:rPr>
        <w:t xml:space="preserve">its members (who were ex-servicemen) </w:t>
      </w:r>
      <w:r w:rsidR="005807D2">
        <w:rPr>
          <w:rFonts w:asciiTheme="minorHAnsi" w:eastAsiaTheme="minorEastAsia" w:hAnsiTheme="minorHAnsi" w:cstheme="minorHAnsi"/>
          <w:sz w:val="22"/>
          <w:szCs w:val="22"/>
          <w:lang w:val="en-US" w:eastAsia="en-US"/>
        </w:rPr>
        <w:t>provide moral support to the widows and families of deceased ex-servicemen</w:t>
      </w:r>
      <w:r w:rsidR="003E235C">
        <w:rPr>
          <w:rFonts w:asciiTheme="minorHAnsi" w:eastAsiaTheme="minorEastAsia" w:hAnsiTheme="minorHAnsi" w:cstheme="minorHAnsi"/>
          <w:sz w:val="22"/>
          <w:szCs w:val="22"/>
          <w:lang w:val="en-US" w:eastAsia="en-US"/>
        </w:rPr>
        <w:t xml:space="preserve">, </w:t>
      </w:r>
      <w:proofErr w:type="gramStart"/>
      <w:r w:rsidR="003E235C">
        <w:rPr>
          <w:rFonts w:asciiTheme="minorHAnsi" w:eastAsiaTheme="minorEastAsia" w:hAnsiTheme="minorHAnsi" w:cstheme="minorHAnsi"/>
          <w:sz w:val="22"/>
          <w:szCs w:val="22"/>
          <w:lang w:val="en-US" w:eastAsia="en-US"/>
        </w:rPr>
        <w:t>whether or not</w:t>
      </w:r>
      <w:proofErr w:type="gramEnd"/>
      <w:r w:rsidR="003E235C">
        <w:rPr>
          <w:rFonts w:asciiTheme="minorHAnsi" w:eastAsiaTheme="minorEastAsia" w:hAnsiTheme="minorHAnsi" w:cstheme="minorHAnsi"/>
          <w:sz w:val="22"/>
          <w:szCs w:val="22"/>
          <w:lang w:val="en-US" w:eastAsia="en-US"/>
        </w:rPr>
        <w:t xml:space="preserve"> th</w:t>
      </w:r>
      <w:r w:rsidR="008A6544">
        <w:rPr>
          <w:rFonts w:asciiTheme="minorHAnsi" w:eastAsiaTheme="minorEastAsia" w:hAnsiTheme="minorHAnsi" w:cstheme="minorHAnsi"/>
          <w:sz w:val="22"/>
          <w:szCs w:val="22"/>
          <w:lang w:val="en-US" w:eastAsia="en-US"/>
        </w:rPr>
        <w:t>e families</w:t>
      </w:r>
      <w:r w:rsidR="003E235C">
        <w:rPr>
          <w:rFonts w:asciiTheme="minorHAnsi" w:eastAsiaTheme="minorEastAsia" w:hAnsiTheme="minorHAnsi" w:cstheme="minorHAnsi"/>
          <w:sz w:val="22"/>
          <w:szCs w:val="22"/>
          <w:lang w:val="en-US" w:eastAsia="en-US"/>
        </w:rPr>
        <w:t xml:space="preserve"> were in financial need. </w:t>
      </w:r>
      <w:r w:rsidR="00B831CB" w:rsidRPr="00DD6227">
        <w:rPr>
          <w:rFonts w:asciiTheme="minorHAnsi" w:eastAsiaTheme="minorEastAsia" w:hAnsiTheme="minorHAnsi" w:cstheme="minorHAnsi"/>
          <w:sz w:val="22"/>
          <w:szCs w:val="22"/>
          <w:lang w:val="en-US" w:eastAsia="en-US"/>
        </w:rPr>
        <w:t>T</w:t>
      </w:r>
      <w:r w:rsidR="00831F2E" w:rsidRPr="00DD6227">
        <w:rPr>
          <w:rFonts w:asciiTheme="minorHAnsi" w:eastAsiaTheme="minorEastAsia" w:hAnsiTheme="minorHAnsi" w:cstheme="minorHAnsi"/>
          <w:sz w:val="22"/>
          <w:szCs w:val="22"/>
          <w:lang w:val="en-US" w:eastAsia="en-US"/>
        </w:rPr>
        <w:t xml:space="preserve">he </w:t>
      </w:r>
      <w:r w:rsidR="00185120" w:rsidRPr="00DD6227">
        <w:rPr>
          <w:rFonts w:asciiTheme="minorHAnsi" w:eastAsiaTheme="minorEastAsia" w:hAnsiTheme="minorHAnsi" w:cstheme="minorHAnsi"/>
          <w:sz w:val="22"/>
          <w:szCs w:val="22"/>
          <w:lang w:val="en-US" w:eastAsia="en-US"/>
        </w:rPr>
        <w:t xml:space="preserve">Tribunal </w:t>
      </w:r>
      <w:r w:rsidR="00831F2E" w:rsidRPr="00DD6227">
        <w:rPr>
          <w:rFonts w:asciiTheme="minorHAnsi" w:eastAsiaTheme="minorEastAsia" w:hAnsiTheme="minorHAnsi" w:cstheme="minorHAnsi"/>
          <w:sz w:val="22"/>
          <w:szCs w:val="22"/>
          <w:lang w:val="en-US" w:eastAsia="en-US"/>
        </w:rPr>
        <w:t>accepted that the</w:t>
      </w:r>
      <w:r w:rsidR="00BF149E" w:rsidRPr="00DD6227">
        <w:rPr>
          <w:rFonts w:asciiTheme="minorHAnsi" w:eastAsiaTheme="minorEastAsia" w:hAnsiTheme="minorHAnsi" w:cstheme="minorHAnsi"/>
          <w:sz w:val="22"/>
          <w:szCs w:val="22"/>
          <w:lang w:val="en-US" w:eastAsia="en-US"/>
        </w:rPr>
        <w:t xml:space="preserve"> beneficiaries </w:t>
      </w:r>
      <w:r w:rsidR="003C6DD6" w:rsidRPr="00DD6227">
        <w:rPr>
          <w:rFonts w:asciiTheme="minorHAnsi" w:eastAsiaTheme="minorEastAsia" w:hAnsiTheme="minorHAnsi" w:cstheme="minorHAnsi"/>
          <w:sz w:val="22"/>
          <w:szCs w:val="22"/>
          <w:lang w:val="en-US" w:eastAsia="en-US"/>
        </w:rPr>
        <w:t xml:space="preserve">had needs that would arouse compassion </w:t>
      </w:r>
      <w:r w:rsidR="00CF19FD">
        <w:rPr>
          <w:rFonts w:asciiTheme="minorHAnsi" w:eastAsiaTheme="minorEastAsia" w:hAnsiTheme="minorHAnsi" w:cstheme="minorHAnsi"/>
          <w:sz w:val="22"/>
          <w:szCs w:val="22"/>
          <w:lang w:val="en-US" w:eastAsia="en-US"/>
        </w:rPr>
        <w:t>within</w:t>
      </w:r>
      <w:r w:rsidR="003C6DD6" w:rsidRPr="00DD6227">
        <w:rPr>
          <w:rFonts w:asciiTheme="minorHAnsi" w:eastAsiaTheme="minorEastAsia" w:hAnsiTheme="minorHAnsi" w:cstheme="minorHAnsi"/>
          <w:sz w:val="22"/>
          <w:szCs w:val="22"/>
          <w:lang w:val="en-US" w:eastAsia="en-US"/>
        </w:rPr>
        <w:t xml:space="preserve"> the community </w:t>
      </w:r>
      <w:r w:rsidR="00BF149E" w:rsidRPr="00DD6227">
        <w:rPr>
          <w:rFonts w:asciiTheme="minorHAnsi" w:eastAsiaTheme="minorEastAsia" w:hAnsiTheme="minorHAnsi" w:cstheme="minorHAnsi"/>
          <w:sz w:val="22"/>
          <w:szCs w:val="22"/>
          <w:lang w:val="en-US" w:eastAsia="en-US"/>
        </w:rPr>
        <w:t>because</w:t>
      </w:r>
      <w:r w:rsidR="003C6DD6" w:rsidRPr="00DD6227">
        <w:rPr>
          <w:rFonts w:asciiTheme="minorHAnsi" w:eastAsiaTheme="minorEastAsia" w:hAnsiTheme="minorHAnsi" w:cstheme="minorHAnsi"/>
          <w:sz w:val="22"/>
          <w:szCs w:val="22"/>
          <w:lang w:val="en-US" w:eastAsia="en-US"/>
        </w:rPr>
        <w:t xml:space="preserve"> they had lost the moral support of a husband or father</w:t>
      </w:r>
      <w:r w:rsidR="00481B33" w:rsidRPr="00DD6227">
        <w:rPr>
          <w:rFonts w:asciiTheme="minorHAnsi" w:eastAsiaTheme="minorEastAsia" w:hAnsiTheme="minorHAnsi" w:cstheme="minorHAnsi"/>
          <w:sz w:val="22"/>
          <w:szCs w:val="22"/>
          <w:lang w:val="en-US" w:eastAsia="en-US"/>
        </w:rPr>
        <w:t xml:space="preserve"> through death</w:t>
      </w:r>
      <w:r w:rsidR="00BF149E" w:rsidRPr="00DD6227">
        <w:rPr>
          <w:rFonts w:asciiTheme="minorHAnsi" w:eastAsiaTheme="minorEastAsia" w:hAnsiTheme="minorHAnsi" w:cstheme="minorHAnsi"/>
          <w:sz w:val="22"/>
          <w:szCs w:val="22"/>
          <w:lang w:val="en-US" w:eastAsia="en-US"/>
        </w:rPr>
        <w:t>.</w:t>
      </w:r>
      <w:r w:rsidR="00B831CB" w:rsidRPr="00DD6227">
        <w:rPr>
          <w:rStyle w:val="FootnoteReference"/>
          <w:rFonts w:asciiTheme="minorHAnsi" w:eastAsiaTheme="minorEastAsia" w:hAnsiTheme="minorHAnsi" w:cstheme="minorHAnsi"/>
          <w:sz w:val="22"/>
          <w:szCs w:val="22"/>
          <w:lang w:val="en-US" w:eastAsia="en-US"/>
        </w:rPr>
        <w:footnoteReference w:id="26"/>
      </w:r>
      <w:r w:rsidR="00BF149E" w:rsidRPr="00DD6227">
        <w:rPr>
          <w:rFonts w:asciiTheme="minorHAnsi" w:eastAsiaTheme="minorEastAsia" w:hAnsiTheme="minorHAnsi" w:cstheme="minorHAnsi"/>
          <w:sz w:val="22"/>
          <w:szCs w:val="22"/>
          <w:lang w:val="en-US" w:eastAsia="en-US"/>
        </w:rPr>
        <w:t xml:space="preserve"> The </w:t>
      </w:r>
      <w:r w:rsidR="00C52FA8" w:rsidRPr="00DD6227">
        <w:rPr>
          <w:rFonts w:asciiTheme="minorHAnsi" w:eastAsiaTheme="minorEastAsia" w:hAnsiTheme="minorHAnsi" w:cstheme="minorHAnsi"/>
          <w:sz w:val="22"/>
          <w:szCs w:val="22"/>
          <w:lang w:val="en-US" w:eastAsia="en-US"/>
        </w:rPr>
        <w:t>charity</w:t>
      </w:r>
      <w:r w:rsidR="00BF149E" w:rsidRPr="00DD6227">
        <w:rPr>
          <w:rFonts w:asciiTheme="minorHAnsi" w:eastAsiaTheme="minorEastAsia" w:hAnsiTheme="minorHAnsi" w:cstheme="minorHAnsi"/>
          <w:sz w:val="22"/>
          <w:szCs w:val="22"/>
          <w:lang w:val="en-US" w:eastAsia="en-US"/>
        </w:rPr>
        <w:t>’s purpose was to relieve the needs that had arisen due to loss of that support.</w:t>
      </w:r>
      <w:r w:rsidR="00832E17" w:rsidRPr="00DD6227">
        <w:rPr>
          <w:rFonts w:asciiTheme="minorHAnsi" w:eastAsiaTheme="minorEastAsia" w:hAnsiTheme="minorHAnsi" w:cstheme="minorHAnsi"/>
          <w:sz w:val="22"/>
          <w:szCs w:val="22"/>
          <w:lang w:val="en-US" w:eastAsia="en-US"/>
        </w:rPr>
        <w:t xml:space="preserve"> </w:t>
      </w:r>
      <w:r w:rsidR="00B61215" w:rsidRPr="00DD6227">
        <w:rPr>
          <w:rFonts w:asciiTheme="minorHAnsi" w:eastAsiaTheme="minorEastAsia" w:hAnsiTheme="minorHAnsi" w:cstheme="minorHAnsi"/>
          <w:sz w:val="22"/>
          <w:szCs w:val="22"/>
          <w:lang w:val="en-US" w:eastAsia="en-US"/>
        </w:rPr>
        <w:t xml:space="preserve"> </w:t>
      </w:r>
    </w:p>
    <w:p w14:paraId="60B47175" w14:textId="16D5B8E0" w:rsidR="000A5D5F" w:rsidRDefault="008E14EB" w:rsidP="00481B33">
      <w:pPr>
        <w:pStyle w:val="ListParagraph"/>
        <w:numPr>
          <w:ilvl w:val="1"/>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i</w:t>
      </w:r>
      <w:r w:rsidR="00B61215" w:rsidRPr="00DD6227">
        <w:rPr>
          <w:rFonts w:asciiTheme="minorHAnsi" w:eastAsiaTheme="minorEastAsia" w:hAnsiTheme="minorHAnsi" w:cstheme="minorHAnsi"/>
          <w:sz w:val="22"/>
          <w:szCs w:val="22"/>
          <w:lang w:val="en-US" w:eastAsia="en-US"/>
        </w:rPr>
        <w:t xml:space="preserve">n </w:t>
      </w:r>
      <w:proofErr w:type="spellStart"/>
      <w:r w:rsidR="00AF5329" w:rsidRPr="00DD6227">
        <w:rPr>
          <w:rFonts w:asciiTheme="minorHAnsi" w:eastAsiaTheme="minorEastAsia" w:hAnsiTheme="minorHAnsi" w:cstheme="minorHAnsi"/>
          <w:i/>
          <w:iCs/>
          <w:sz w:val="22"/>
          <w:szCs w:val="22"/>
          <w:lang w:val="en-US" w:eastAsia="en-US"/>
        </w:rPr>
        <w:t>Tangentyere</w:t>
      </w:r>
      <w:proofErr w:type="spellEnd"/>
      <w:r w:rsidR="00AF5329" w:rsidRPr="00DD6227">
        <w:rPr>
          <w:rFonts w:asciiTheme="minorHAnsi" w:eastAsiaTheme="minorEastAsia" w:hAnsiTheme="minorHAnsi" w:cstheme="minorHAnsi"/>
          <w:i/>
          <w:iCs/>
          <w:sz w:val="22"/>
          <w:szCs w:val="22"/>
          <w:lang w:val="en-US" w:eastAsia="en-US"/>
        </w:rPr>
        <w:t xml:space="preserve"> Council Inc v Commissioner of Taxes</w:t>
      </w:r>
      <w:r w:rsidR="00B61215" w:rsidRPr="00DD6227">
        <w:rPr>
          <w:rFonts w:asciiTheme="minorHAnsi" w:eastAsiaTheme="minorEastAsia" w:hAnsiTheme="minorHAnsi" w:cstheme="minorHAnsi"/>
          <w:sz w:val="22"/>
          <w:szCs w:val="22"/>
          <w:lang w:val="en-US" w:eastAsia="en-US"/>
        </w:rPr>
        <w:t xml:space="preserve">, the </w:t>
      </w:r>
      <w:r w:rsidR="00AF5329" w:rsidRPr="00DD6227">
        <w:rPr>
          <w:rFonts w:asciiTheme="minorHAnsi" w:eastAsiaTheme="minorEastAsia" w:hAnsiTheme="minorHAnsi" w:cstheme="minorHAnsi"/>
          <w:sz w:val="22"/>
          <w:szCs w:val="22"/>
          <w:lang w:val="en-US" w:eastAsia="en-US"/>
        </w:rPr>
        <w:t>Supreme C</w:t>
      </w:r>
      <w:r w:rsidR="00B61215" w:rsidRPr="00DD6227">
        <w:rPr>
          <w:rFonts w:asciiTheme="minorHAnsi" w:eastAsiaTheme="minorEastAsia" w:hAnsiTheme="minorHAnsi" w:cstheme="minorHAnsi"/>
          <w:sz w:val="22"/>
          <w:szCs w:val="22"/>
          <w:lang w:val="en-US" w:eastAsia="en-US"/>
        </w:rPr>
        <w:t>ourt</w:t>
      </w:r>
      <w:r w:rsidR="00AF5329" w:rsidRPr="00DD6227">
        <w:rPr>
          <w:rFonts w:asciiTheme="minorHAnsi" w:eastAsiaTheme="minorEastAsia" w:hAnsiTheme="minorHAnsi" w:cstheme="minorHAnsi"/>
          <w:sz w:val="22"/>
          <w:szCs w:val="22"/>
          <w:lang w:val="en-US" w:eastAsia="en-US"/>
        </w:rPr>
        <w:t xml:space="preserve"> of Northern Territory</w:t>
      </w:r>
      <w:r w:rsidR="00B61215" w:rsidRPr="00DD6227">
        <w:rPr>
          <w:rFonts w:asciiTheme="minorHAnsi" w:eastAsiaTheme="minorEastAsia" w:hAnsiTheme="minorHAnsi" w:cstheme="minorHAnsi"/>
          <w:sz w:val="22"/>
          <w:szCs w:val="22"/>
          <w:lang w:val="en-US" w:eastAsia="en-US"/>
        </w:rPr>
        <w:t xml:space="preserve"> found that assisting Aboriginal Australians to preserve </w:t>
      </w:r>
      <w:r w:rsidR="00B73E0A" w:rsidRPr="00DD6227">
        <w:rPr>
          <w:rFonts w:asciiTheme="minorHAnsi" w:eastAsiaTheme="minorEastAsia" w:hAnsiTheme="minorHAnsi" w:cstheme="minorHAnsi"/>
          <w:sz w:val="22"/>
          <w:szCs w:val="22"/>
          <w:lang w:val="en-US" w:eastAsia="en-US"/>
        </w:rPr>
        <w:t>their traditional</w:t>
      </w:r>
      <w:r w:rsidR="00F76D99" w:rsidRPr="00DD6227">
        <w:rPr>
          <w:rFonts w:asciiTheme="minorHAnsi" w:eastAsiaTheme="minorEastAsia" w:hAnsiTheme="minorHAnsi" w:cstheme="minorHAnsi"/>
          <w:sz w:val="22"/>
          <w:szCs w:val="22"/>
          <w:lang w:val="en-US" w:eastAsia="en-US"/>
        </w:rPr>
        <w:t xml:space="preserve"> culture,</w:t>
      </w:r>
      <w:r w:rsidR="00B73E0A" w:rsidRPr="00DD6227">
        <w:rPr>
          <w:rFonts w:asciiTheme="minorHAnsi" w:eastAsiaTheme="minorEastAsia" w:hAnsiTheme="minorHAnsi" w:cstheme="minorHAnsi"/>
          <w:sz w:val="22"/>
          <w:szCs w:val="22"/>
          <w:lang w:val="en-US" w:eastAsia="en-US"/>
        </w:rPr>
        <w:t xml:space="preserve"> customs and</w:t>
      </w:r>
      <w:r w:rsidR="00F76D99" w:rsidRPr="00DD6227">
        <w:rPr>
          <w:rFonts w:asciiTheme="minorHAnsi" w:eastAsiaTheme="minorEastAsia" w:hAnsiTheme="minorHAnsi" w:cstheme="minorHAnsi"/>
          <w:sz w:val="22"/>
          <w:szCs w:val="22"/>
          <w:lang w:val="en-US" w:eastAsia="en-US"/>
        </w:rPr>
        <w:t xml:space="preserve"> traditions</w:t>
      </w:r>
      <w:r w:rsidR="00B73E0A" w:rsidRPr="00DD6227">
        <w:rPr>
          <w:rFonts w:asciiTheme="minorHAnsi" w:eastAsiaTheme="minorEastAsia" w:hAnsiTheme="minorHAnsi" w:cstheme="minorHAnsi"/>
          <w:sz w:val="22"/>
          <w:szCs w:val="22"/>
          <w:lang w:val="en-US" w:eastAsia="en-US"/>
        </w:rPr>
        <w:t xml:space="preserve"> </w:t>
      </w:r>
      <w:r w:rsidR="00F76D99" w:rsidRPr="00DD6227">
        <w:rPr>
          <w:rFonts w:asciiTheme="minorHAnsi" w:eastAsiaTheme="minorEastAsia" w:hAnsiTheme="minorHAnsi" w:cstheme="minorHAnsi"/>
          <w:sz w:val="22"/>
          <w:szCs w:val="22"/>
          <w:lang w:val="en-US" w:eastAsia="en-US"/>
        </w:rPr>
        <w:t xml:space="preserve">was a </w:t>
      </w:r>
      <w:r w:rsidR="00C00D92">
        <w:rPr>
          <w:rFonts w:asciiTheme="minorHAnsi" w:eastAsiaTheme="minorEastAsia" w:hAnsiTheme="minorHAnsi" w:cstheme="minorHAnsi"/>
          <w:sz w:val="22"/>
          <w:szCs w:val="22"/>
          <w:lang w:val="en-US" w:eastAsia="en-US"/>
        </w:rPr>
        <w:t xml:space="preserve">purpose of </w:t>
      </w:r>
      <w:r w:rsidR="00F76D99" w:rsidRPr="00DD6227">
        <w:rPr>
          <w:rFonts w:asciiTheme="minorHAnsi" w:eastAsiaTheme="minorEastAsia" w:hAnsiTheme="minorHAnsi" w:cstheme="minorHAnsi"/>
          <w:sz w:val="22"/>
          <w:szCs w:val="22"/>
          <w:lang w:val="en-US" w:eastAsia="en-US"/>
        </w:rPr>
        <w:t>benevolent relief</w:t>
      </w:r>
      <w:r w:rsidR="00922DFD" w:rsidRPr="00DD6227">
        <w:rPr>
          <w:rFonts w:asciiTheme="minorHAnsi" w:eastAsiaTheme="minorEastAsia" w:hAnsiTheme="minorHAnsi" w:cstheme="minorHAnsi"/>
          <w:sz w:val="22"/>
          <w:szCs w:val="22"/>
          <w:lang w:val="en-US" w:eastAsia="en-US"/>
        </w:rPr>
        <w:t>.</w:t>
      </w:r>
      <w:r w:rsidR="00594E49" w:rsidRPr="00DD6227">
        <w:rPr>
          <w:rStyle w:val="FootnoteReference"/>
          <w:rFonts w:asciiTheme="minorHAnsi" w:eastAsiaTheme="minorEastAsia" w:hAnsiTheme="minorHAnsi" w:cstheme="minorHAnsi"/>
          <w:sz w:val="22"/>
          <w:szCs w:val="22"/>
          <w:lang w:val="en-US" w:eastAsia="en-US"/>
        </w:rPr>
        <w:footnoteReference w:id="27"/>
      </w:r>
    </w:p>
    <w:p w14:paraId="2C636FA3" w14:textId="6E27CD93" w:rsidR="0081451B" w:rsidRDefault="0081451B" w:rsidP="0081451B">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Pr>
          <w:rFonts w:asciiTheme="minorHAnsi" w:eastAsiaTheme="minorEastAsia" w:hAnsiTheme="minorHAnsi" w:cstheme="minorHAnsi"/>
          <w:sz w:val="22"/>
          <w:szCs w:val="22"/>
          <w:lang w:val="en-US" w:eastAsia="en-US"/>
        </w:rPr>
        <w:t xml:space="preserve">However, </w:t>
      </w:r>
      <w:r w:rsidR="00C00D92">
        <w:rPr>
          <w:rFonts w:asciiTheme="minorHAnsi" w:eastAsiaTheme="minorEastAsia" w:hAnsiTheme="minorHAnsi" w:cstheme="minorHAnsi"/>
          <w:sz w:val="22"/>
          <w:szCs w:val="22"/>
          <w:lang w:val="en-US" w:eastAsia="en-US"/>
        </w:rPr>
        <w:t xml:space="preserve">a </w:t>
      </w:r>
      <w:r>
        <w:rPr>
          <w:rFonts w:asciiTheme="minorHAnsi" w:eastAsiaTheme="minorEastAsia" w:hAnsiTheme="minorHAnsi" w:cstheme="minorHAnsi"/>
          <w:sz w:val="22"/>
          <w:szCs w:val="22"/>
          <w:lang w:val="en-US" w:eastAsia="en-US"/>
        </w:rPr>
        <w:t>cha</w:t>
      </w:r>
      <w:r w:rsidR="00054765">
        <w:rPr>
          <w:rFonts w:asciiTheme="minorHAnsi" w:eastAsiaTheme="minorEastAsia" w:hAnsiTheme="minorHAnsi" w:cstheme="minorHAnsi"/>
          <w:sz w:val="22"/>
          <w:szCs w:val="22"/>
          <w:lang w:val="en-US" w:eastAsia="en-US"/>
        </w:rPr>
        <w:t>rity’s purpose must</w:t>
      </w:r>
      <w:r w:rsidR="00A87740">
        <w:rPr>
          <w:rFonts w:asciiTheme="minorHAnsi" w:eastAsiaTheme="minorEastAsia" w:hAnsiTheme="minorHAnsi" w:cstheme="minorHAnsi"/>
          <w:sz w:val="22"/>
          <w:szCs w:val="22"/>
          <w:lang w:val="en-US" w:eastAsia="en-US"/>
        </w:rPr>
        <w:t xml:space="preserve"> be</w:t>
      </w:r>
      <w:r w:rsidR="00054765">
        <w:rPr>
          <w:rFonts w:asciiTheme="minorHAnsi" w:eastAsiaTheme="minorEastAsia" w:hAnsiTheme="minorHAnsi" w:cstheme="minorHAnsi"/>
          <w:sz w:val="22"/>
          <w:szCs w:val="22"/>
          <w:lang w:val="en-US" w:eastAsia="en-US"/>
        </w:rPr>
        <w:t xml:space="preserve"> directed towards relie</w:t>
      </w:r>
      <w:r w:rsidR="006B0FC5">
        <w:rPr>
          <w:rFonts w:asciiTheme="minorHAnsi" w:eastAsiaTheme="minorEastAsia" w:hAnsiTheme="minorHAnsi" w:cstheme="minorHAnsi"/>
          <w:sz w:val="22"/>
          <w:szCs w:val="22"/>
          <w:lang w:val="en-US" w:eastAsia="en-US"/>
        </w:rPr>
        <w:t>ving the needs</w:t>
      </w:r>
      <w:r w:rsidR="00054765">
        <w:rPr>
          <w:rFonts w:asciiTheme="minorHAnsi" w:eastAsiaTheme="minorEastAsia" w:hAnsiTheme="minorHAnsi" w:cstheme="minorHAnsi"/>
          <w:sz w:val="22"/>
          <w:szCs w:val="22"/>
          <w:lang w:val="en-US" w:eastAsia="en-US"/>
        </w:rPr>
        <w:t xml:space="preserve"> of its beneficiaries</w:t>
      </w:r>
      <w:r w:rsidR="006B0FC5">
        <w:rPr>
          <w:rFonts w:asciiTheme="minorHAnsi" w:eastAsiaTheme="minorEastAsia" w:hAnsiTheme="minorHAnsi" w:cstheme="minorHAnsi"/>
          <w:sz w:val="22"/>
          <w:szCs w:val="22"/>
          <w:lang w:val="en-US" w:eastAsia="en-US"/>
        </w:rPr>
        <w:t>.</w:t>
      </w:r>
      <w:r w:rsidR="00054765">
        <w:rPr>
          <w:rFonts w:asciiTheme="minorHAnsi" w:eastAsiaTheme="minorEastAsia" w:hAnsiTheme="minorHAnsi" w:cstheme="minorHAnsi"/>
          <w:sz w:val="22"/>
          <w:szCs w:val="22"/>
          <w:lang w:val="en-US" w:eastAsia="en-US"/>
        </w:rPr>
        <w:t xml:space="preserve"> It is not enough </w:t>
      </w:r>
      <w:r w:rsidR="006B0FC5">
        <w:rPr>
          <w:rFonts w:asciiTheme="minorHAnsi" w:eastAsiaTheme="minorEastAsia" w:hAnsiTheme="minorHAnsi" w:cstheme="minorHAnsi"/>
          <w:sz w:val="22"/>
          <w:szCs w:val="22"/>
          <w:lang w:val="en-US" w:eastAsia="en-US"/>
        </w:rPr>
        <w:t>for a</w:t>
      </w:r>
      <w:r w:rsidR="00054765">
        <w:rPr>
          <w:rFonts w:asciiTheme="minorHAnsi" w:eastAsiaTheme="minorEastAsia" w:hAnsiTheme="minorHAnsi" w:cstheme="minorHAnsi"/>
          <w:sz w:val="22"/>
          <w:szCs w:val="22"/>
          <w:lang w:val="en-US" w:eastAsia="en-US"/>
        </w:rPr>
        <w:t xml:space="preserve"> charity </w:t>
      </w:r>
      <w:r w:rsidR="006B0FC5">
        <w:rPr>
          <w:rFonts w:asciiTheme="minorHAnsi" w:eastAsiaTheme="minorEastAsia" w:hAnsiTheme="minorHAnsi" w:cstheme="minorHAnsi"/>
          <w:sz w:val="22"/>
          <w:szCs w:val="22"/>
          <w:lang w:val="en-US" w:eastAsia="en-US"/>
        </w:rPr>
        <w:t xml:space="preserve">to </w:t>
      </w:r>
      <w:r w:rsidR="00054765">
        <w:rPr>
          <w:rFonts w:asciiTheme="minorHAnsi" w:eastAsiaTheme="minorEastAsia" w:hAnsiTheme="minorHAnsi" w:cstheme="minorHAnsi"/>
          <w:sz w:val="22"/>
          <w:szCs w:val="22"/>
          <w:lang w:val="en-US" w:eastAsia="en-US"/>
        </w:rPr>
        <w:t>provide services to people in need if the services do not actually relieve their need.</w:t>
      </w:r>
      <w:r w:rsidR="00F6084A">
        <w:rPr>
          <w:rStyle w:val="FootnoteReference"/>
          <w:rFonts w:asciiTheme="minorHAnsi" w:eastAsiaTheme="minorEastAsia" w:hAnsiTheme="minorHAnsi" w:cstheme="minorHAnsi"/>
          <w:sz w:val="22"/>
          <w:szCs w:val="22"/>
          <w:lang w:val="en-US" w:eastAsia="en-US"/>
        </w:rPr>
        <w:footnoteReference w:id="28"/>
      </w:r>
    </w:p>
    <w:p w14:paraId="077DBFB5" w14:textId="78246956" w:rsidR="00566E6B" w:rsidRPr="00DD6227" w:rsidRDefault="003718A0" w:rsidP="00566E6B">
      <w:pPr>
        <w:pStyle w:val="ListParagraph"/>
        <w:spacing w:before="120" w:after="120" w:line="276" w:lineRule="auto"/>
        <w:ind w:left="930"/>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u w:val="single"/>
          <w:lang w:val="en-US" w:eastAsia="en-US"/>
        </w:rPr>
        <w:t>Relief must be directed to people in need, not the community generally</w:t>
      </w:r>
    </w:p>
    <w:p w14:paraId="3F706DBC" w14:textId="1B30399E" w:rsidR="00A43EFE" w:rsidRPr="00DD6227" w:rsidRDefault="00E64E65" w:rsidP="00CE0608">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u w:val="single"/>
          <w:lang w:val="en-US" w:eastAsia="en-US"/>
        </w:rPr>
      </w:pPr>
      <w:r w:rsidRPr="00DD6227">
        <w:rPr>
          <w:rFonts w:asciiTheme="minorHAnsi" w:eastAsiaTheme="minorEastAsia" w:hAnsiTheme="minorHAnsi" w:cstheme="minorHAnsi"/>
          <w:sz w:val="22"/>
          <w:szCs w:val="22"/>
          <w:lang w:val="en-US" w:eastAsia="en-US"/>
        </w:rPr>
        <w:t>The charity’s benevo</w:t>
      </w:r>
      <w:r w:rsidR="000521B3" w:rsidRPr="00DD6227">
        <w:rPr>
          <w:rFonts w:asciiTheme="minorHAnsi" w:eastAsiaTheme="minorEastAsia" w:hAnsiTheme="minorHAnsi" w:cstheme="minorHAnsi"/>
          <w:sz w:val="22"/>
          <w:szCs w:val="22"/>
          <w:lang w:val="en-US" w:eastAsia="en-US"/>
        </w:rPr>
        <w:t>lent relief</w:t>
      </w:r>
      <w:r w:rsidRPr="00DD6227">
        <w:rPr>
          <w:rFonts w:asciiTheme="minorHAnsi" w:eastAsiaTheme="minorEastAsia" w:hAnsiTheme="minorHAnsi" w:cstheme="minorHAnsi"/>
          <w:sz w:val="22"/>
          <w:szCs w:val="22"/>
          <w:lang w:val="en-US" w:eastAsia="en-US"/>
        </w:rPr>
        <w:t xml:space="preserve"> must be targeted or directed </w:t>
      </w:r>
      <w:r w:rsidR="00F12789">
        <w:rPr>
          <w:rFonts w:asciiTheme="minorHAnsi" w:eastAsiaTheme="minorEastAsia" w:hAnsiTheme="minorHAnsi" w:cstheme="minorHAnsi"/>
          <w:sz w:val="22"/>
          <w:szCs w:val="22"/>
          <w:lang w:val="en-US" w:eastAsia="en-US"/>
        </w:rPr>
        <w:t>to</w:t>
      </w:r>
      <w:r w:rsidRPr="00DD6227">
        <w:rPr>
          <w:rFonts w:asciiTheme="minorHAnsi" w:eastAsiaTheme="minorEastAsia" w:hAnsiTheme="minorHAnsi" w:cstheme="minorHAnsi"/>
          <w:sz w:val="22"/>
          <w:szCs w:val="22"/>
          <w:lang w:val="en-US" w:eastAsia="en-US"/>
        </w:rPr>
        <w:t xml:space="preserve"> people in need and not the broader general community, even though the general community includes people in need. </w:t>
      </w:r>
    </w:p>
    <w:p w14:paraId="508F217F" w14:textId="7816D10F" w:rsidR="00485AD7" w:rsidRPr="00DD6227" w:rsidRDefault="00764B4A" w:rsidP="00CE0608">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u w:val="single"/>
          <w:lang w:val="en-US" w:eastAsia="en-US"/>
        </w:rPr>
      </w:pPr>
      <w:r w:rsidRPr="00DD6227">
        <w:rPr>
          <w:rFonts w:asciiTheme="minorHAnsi" w:eastAsiaTheme="minorEastAsia" w:hAnsiTheme="minorHAnsi" w:cstheme="minorHAnsi"/>
          <w:sz w:val="22"/>
          <w:szCs w:val="22"/>
          <w:lang w:val="en-US" w:eastAsia="en-US"/>
        </w:rPr>
        <w:t>So</w:t>
      </w:r>
      <w:r w:rsidR="00485AD7" w:rsidRPr="00DD6227">
        <w:rPr>
          <w:rFonts w:asciiTheme="minorHAnsi" w:eastAsiaTheme="minorEastAsia" w:hAnsiTheme="minorHAnsi" w:cstheme="minorHAnsi"/>
          <w:sz w:val="22"/>
          <w:szCs w:val="22"/>
          <w:lang w:val="en-US" w:eastAsia="en-US"/>
        </w:rPr>
        <w:t xml:space="preserve">, a charity that provides general advice, information, research </w:t>
      </w:r>
      <w:r w:rsidR="00E157BF" w:rsidRPr="00DD6227">
        <w:rPr>
          <w:rFonts w:asciiTheme="minorHAnsi" w:eastAsiaTheme="minorEastAsia" w:hAnsiTheme="minorHAnsi" w:cstheme="minorHAnsi"/>
          <w:sz w:val="22"/>
          <w:szCs w:val="22"/>
          <w:lang w:val="en-US" w:eastAsia="en-US"/>
        </w:rPr>
        <w:t>or</w:t>
      </w:r>
      <w:r w:rsidR="00485AD7" w:rsidRPr="00DD6227">
        <w:rPr>
          <w:rFonts w:asciiTheme="minorHAnsi" w:eastAsiaTheme="minorEastAsia" w:hAnsiTheme="minorHAnsi" w:cstheme="minorHAnsi"/>
          <w:sz w:val="22"/>
          <w:szCs w:val="22"/>
          <w:lang w:val="en-US" w:eastAsia="en-US"/>
        </w:rPr>
        <w:t xml:space="preserve"> advocacy services to the whole community or a part of the community is unlikely to </w:t>
      </w:r>
      <w:r w:rsidRPr="00DD6227">
        <w:rPr>
          <w:rFonts w:asciiTheme="minorHAnsi" w:eastAsiaTheme="minorEastAsia" w:hAnsiTheme="minorHAnsi" w:cstheme="minorHAnsi"/>
          <w:sz w:val="22"/>
          <w:szCs w:val="22"/>
          <w:lang w:val="en-US" w:eastAsia="en-US"/>
        </w:rPr>
        <w:t xml:space="preserve">have a </w:t>
      </w:r>
      <w:r w:rsidR="00721202">
        <w:rPr>
          <w:rFonts w:asciiTheme="minorHAnsi" w:eastAsiaTheme="minorEastAsia" w:hAnsiTheme="minorHAnsi" w:cstheme="minorHAnsi"/>
          <w:sz w:val="22"/>
          <w:szCs w:val="22"/>
          <w:lang w:val="en-US" w:eastAsia="en-US"/>
        </w:rPr>
        <w:t xml:space="preserve">purpose of </w:t>
      </w:r>
      <w:r w:rsidRPr="00DD6227">
        <w:rPr>
          <w:rFonts w:asciiTheme="minorHAnsi" w:eastAsiaTheme="minorEastAsia" w:hAnsiTheme="minorHAnsi" w:cstheme="minorHAnsi"/>
          <w:sz w:val="22"/>
          <w:szCs w:val="22"/>
          <w:lang w:val="en-US" w:eastAsia="en-US"/>
        </w:rPr>
        <w:t>benevolent relief</w:t>
      </w:r>
      <w:r w:rsidR="00485AD7" w:rsidRPr="00DD6227">
        <w:rPr>
          <w:rFonts w:asciiTheme="minorHAnsi" w:eastAsiaTheme="minorEastAsia" w:hAnsiTheme="minorHAnsi" w:cstheme="minorHAnsi"/>
          <w:sz w:val="22"/>
          <w:szCs w:val="22"/>
          <w:lang w:val="en-US" w:eastAsia="en-US"/>
        </w:rPr>
        <w:t>.</w:t>
      </w:r>
      <w:r w:rsidR="00974094" w:rsidRPr="00DD6227">
        <w:rPr>
          <w:rStyle w:val="FootnoteReference"/>
          <w:rFonts w:asciiTheme="minorHAnsi" w:eastAsiaTheme="minorEastAsia" w:hAnsiTheme="minorHAnsi" w:cstheme="minorHAnsi"/>
          <w:sz w:val="22"/>
          <w:szCs w:val="22"/>
          <w:lang w:val="en-US" w:eastAsia="en-US"/>
        </w:rPr>
        <w:footnoteReference w:id="29"/>
      </w:r>
    </w:p>
    <w:p w14:paraId="0DC2100B" w14:textId="6DC8E760" w:rsidR="00CB507F" w:rsidRPr="00DD6227" w:rsidRDefault="00CB507F" w:rsidP="00CE0608">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u w:val="single"/>
          <w:lang w:val="en-US" w:eastAsia="en-US"/>
        </w:rPr>
      </w:pPr>
      <w:r w:rsidRPr="00DD6227">
        <w:rPr>
          <w:rFonts w:asciiTheme="minorHAnsi" w:eastAsiaTheme="minorEastAsia" w:hAnsiTheme="minorHAnsi" w:cstheme="minorHAnsi"/>
          <w:sz w:val="22"/>
          <w:szCs w:val="22"/>
          <w:lang w:val="en-US" w:eastAsia="en-US"/>
        </w:rPr>
        <w:t xml:space="preserve">A charity </w:t>
      </w:r>
      <w:r w:rsidR="00721202">
        <w:rPr>
          <w:rFonts w:asciiTheme="minorHAnsi" w:eastAsiaTheme="minorEastAsia" w:hAnsiTheme="minorHAnsi" w:cstheme="minorHAnsi"/>
          <w:sz w:val="22"/>
          <w:szCs w:val="22"/>
          <w:lang w:val="en-US" w:eastAsia="en-US"/>
        </w:rPr>
        <w:t>that</w:t>
      </w:r>
      <w:r w:rsidR="00721202" w:rsidRPr="00DD6227">
        <w:rPr>
          <w:rFonts w:asciiTheme="minorHAnsi" w:eastAsiaTheme="minorEastAsia" w:hAnsiTheme="minorHAnsi" w:cstheme="minorHAnsi"/>
          <w:sz w:val="22"/>
          <w:szCs w:val="22"/>
          <w:lang w:val="en-US" w:eastAsia="en-US"/>
        </w:rPr>
        <w:t xml:space="preserve"> </w:t>
      </w:r>
      <w:r w:rsidR="00777A9A" w:rsidRPr="00DD6227">
        <w:rPr>
          <w:rFonts w:asciiTheme="minorHAnsi" w:eastAsiaTheme="minorEastAsia" w:hAnsiTheme="minorHAnsi" w:cstheme="minorHAnsi"/>
          <w:sz w:val="22"/>
          <w:szCs w:val="22"/>
          <w:lang w:val="en-US" w:eastAsia="en-US"/>
        </w:rPr>
        <w:t xml:space="preserve">provides goods </w:t>
      </w:r>
      <w:r w:rsidR="00721202">
        <w:rPr>
          <w:rFonts w:asciiTheme="minorHAnsi" w:eastAsiaTheme="minorEastAsia" w:hAnsiTheme="minorHAnsi" w:cstheme="minorHAnsi"/>
          <w:sz w:val="22"/>
          <w:szCs w:val="22"/>
          <w:lang w:val="en-US" w:eastAsia="en-US"/>
        </w:rPr>
        <w:t xml:space="preserve">or services </w:t>
      </w:r>
      <w:r w:rsidR="00777A9A" w:rsidRPr="00DD6227">
        <w:rPr>
          <w:rFonts w:asciiTheme="minorHAnsi" w:eastAsiaTheme="minorEastAsia" w:hAnsiTheme="minorHAnsi" w:cstheme="minorHAnsi"/>
          <w:sz w:val="22"/>
          <w:szCs w:val="22"/>
          <w:lang w:val="en-US" w:eastAsia="en-US"/>
        </w:rPr>
        <w:t xml:space="preserve">to </w:t>
      </w:r>
      <w:r w:rsidRPr="00DD6227">
        <w:rPr>
          <w:rFonts w:asciiTheme="minorHAnsi" w:eastAsiaTheme="minorEastAsia" w:hAnsiTheme="minorHAnsi" w:cstheme="minorHAnsi"/>
          <w:sz w:val="22"/>
          <w:szCs w:val="22"/>
          <w:lang w:val="en-US" w:eastAsia="en-US"/>
        </w:rPr>
        <w:t xml:space="preserve">an entire community may </w:t>
      </w:r>
      <w:r w:rsidR="008E14EB" w:rsidRPr="00DD6227">
        <w:rPr>
          <w:rFonts w:asciiTheme="minorHAnsi" w:eastAsiaTheme="minorEastAsia" w:hAnsiTheme="minorHAnsi" w:cstheme="minorHAnsi"/>
          <w:sz w:val="22"/>
          <w:szCs w:val="22"/>
          <w:lang w:val="en-US" w:eastAsia="en-US"/>
        </w:rPr>
        <w:t xml:space="preserve">have a </w:t>
      </w:r>
      <w:r w:rsidR="00721202">
        <w:rPr>
          <w:rFonts w:asciiTheme="minorHAnsi" w:eastAsiaTheme="minorEastAsia" w:hAnsiTheme="minorHAnsi" w:cstheme="minorHAnsi"/>
          <w:sz w:val="22"/>
          <w:szCs w:val="22"/>
          <w:lang w:val="en-US" w:eastAsia="en-US"/>
        </w:rPr>
        <w:t xml:space="preserve">purpose of </w:t>
      </w:r>
      <w:r w:rsidR="008E14EB" w:rsidRPr="00DD6227">
        <w:rPr>
          <w:rFonts w:asciiTheme="minorHAnsi" w:eastAsiaTheme="minorEastAsia" w:hAnsiTheme="minorHAnsi" w:cstheme="minorHAnsi"/>
          <w:sz w:val="22"/>
          <w:szCs w:val="22"/>
          <w:lang w:val="en-US" w:eastAsia="en-US"/>
        </w:rPr>
        <w:t xml:space="preserve">benevolent relief </w:t>
      </w:r>
      <w:r w:rsidRPr="00DD6227">
        <w:rPr>
          <w:rFonts w:asciiTheme="minorHAnsi" w:eastAsiaTheme="minorEastAsia" w:hAnsiTheme="minorHAnsi" w:cstheme="minorHAnsi"/>
          <w:sz w:val="22"/>
          <w:szCs w:val="22"/>
          <w:lang w:val="en-US" w:eastAsia="en-US"/>
        </w:rPr>
        <w:t xml:space="preserve">if </w:t>
      </w:r>
      <w:r w:rsidR="00D9504B" w:rsidRPr="00DD6227">
        <w:rPr>
          <w:rFonts w:asciiTheme="minorHAnsi" w:eastAsiaTheme="minorEastAsia" w:hAnsiTheme="minorHAnsi" w:cstheme="minorHAnsi"/>
          <w:sz w:val="22"/>
          <w:szCs w:val="22"/>
          <w:lang w:val="en-US" w:eastAsia="en-US"/>
        </w:rPr>
        <w:t xml:space="preserve">the whole community (or </w:t>
      </w:r>
      <w:proofErr w:type="gramStart"/>
      <w:r w:rsidR="00D9504B" w:rsidRPr="00DD6227">
        <w:rPr>
          <w:rFonts w:asciiTheme="minorHAnsi" w:eastAsiaTheme="minorEastAsia" w:hAnsiTheme="minorHAnsi" w:cstheme="minorHAnsi"/>
          <w:sz w:val="22"/>
          <w:szCs w:val="22"/>
          <w:lang w:val="en-US" w:eastAsia="en-US"/>
        </w:rPr>
        <w:t>the vast majority of</w:t>
      </w:r>
      <w:proofErr w:type="gramEnd"/>
      <w:r w:rsidR="00D9504B" w:rsidRPr="00DD6227">
        <w:rPr>
          <w:rFonts w:asciiTheme="minorHAnsi" w:eastAsiaTheme="minorEastAsia" w:hAnsiTheme="minorHAnsi" w:cstheme="minorHAnsi"/>
          <w:sz w:val="22"/>
          <w:szCs w:val="22"/>
          <w:lang w:val="en-US" w:eastAsia="en-US"/>
        </w:rPr>
        <w:t xml:space="preserve"> the community) are people in need. For example, </w:t>
      </w:r>
      <w:r w:rsidR="005A44BB" w:rsidRPr="00DD6227">
        <w:rPr>
          <w:rFonts w:asciiTheme="minorHAnsi" w:eastAsiaTheme="minorEastAsia" w:hAnsiTheme="minorHAnsi" w:cstheme="minorHAnsi"/>
          <w:sz w:val="22"/>
          <w:szCs w:val="22"/>
          <w:lang w:val="en-US" w:eastAsia="en-US"/>
        </w:rPr>
        <w:t>in</w:t>
      </w:r>
      <w:r w:rsidR="00B65012" w:rsidRPr="00DD6227">
        <w:rPr>
          <w:rFonts w:asciiTheme="minorHAnsi" w:eastAsiaTheme="minorEastAsia" w:hAnsiTheme="minorHAnsi" w:cstheme="minorHAnsi"/>
          <w:sz w:val="22"/>
          <w:szCs w:val="22"/>
          <w:lang w:val="en-US" w:eastAsia="en-US"/>
        </w:rPr>
        <w:t xml:space="preserve"> </w:t>
      </w:r>
      <w:r w:rsidR="00CC2DF7" w:rsidRPr="00DD6227">
        <w:rPr>
          <w:rFonts w:asciiTheme="minorHAnsi" w:eastAsiaTheme="minorEastAsia" w:hAnsiTheme="minorHAnsi" w:cstheme="minorHAnsi"/>
          <w:sz w:val="22"/>
          <w:szCs w:val="22"/>
          <w:lang w:val="en-US" w:eastAsia="en-US"/>
        </w:rPr>
        <w:t xml:space="preserve">developing countries, entire communities may be living in poverty. </w:t>
      </w:r>
      <w:r w:rsidR="00B57C54" w:rsidRPr="00DD6227">
        <w:rPr>
          <w:rFonts w:asciiTheme="minorHAnsi" w:eastAsiaTheme="minorEastAsia" w:hAnsiTheme="minorHAnsi" w:cstheme="minorHAnsi"/>
          <w:sz w:val="22"/>
          <w:szCs w:val="22"/>
          <w:lang w:val="en-US" w:eastAsia="en-US"/>
        </w:rPr>
        <w:t xml:space="preserve">Development assistance provided to such communities is likely to be </w:t>
      </w:r>
      <w:r w:rsidR="00E87B6B" w:rsidRPr="00DD6227">
        <w:rPr>
          <w:rFonts w:asciiTheme="minorHAnsi" w:eastAsiaTheme="minorEastAsia" w:hAnsiTheme="minorHAnsi" w:cstheme="minorHAnsi"/>
          <w:sz w:val="22"/>
          <w:szCs w:val="22"/>
          <w:lang w:val="en-US" w:eastAsia="en-US"/>
        </w:rPr>
        <w:t xml:space="preserve">a </w:t>
      </w:r>
      <w:r w:rsidR="00721202">
        <w:rPr>
          <w:rFonts w:asciiTheme="minorHAnsi" w:eastAsiaTheme="minorEastAsia" w:hAnsiTheme="minorHAnsi" w:cstheme="minorHAnsi"/>
          <w:sz w:val="22"/>
          <w:szCs w:val="22"/>
          <w:lang w:val="en-US" w:eastAsia="en-US"/>
        </w:rPr>
        <w:t xml:space="preserve">purpose of </w:t>
      </w:r>
      <w:r w:rsidR="00E87B6B" w:rsidRPr="00DD6227">
        <w:rPr>
          <w:rFonts w:asciiTheme="minorHAnsi" w:eastAsiaTheme="minorEastAsia" w:hAnsiTheme="minorHAnsi" w:cstheme="minorHAnsi"/>
          <w:sz w:val="22"/>
          <w:szCs w:val="22"/>
          <w:lang w:val="en-US" w:eastAsia="en-US"/>
        </w:rPr>
        <w:t>benevolent relief.</w:t>
      </w:r>
    </w:p>
    <w:p w14:paraId="4B3D7FD3" w14:textId="51E2DB4C" w:rsidR="00CC1123" w:rsidRPr="00DD6227" w:rsidRDefault="002A0387" w:rsidP="00CC1123">
      <w:pPr>
        <w:pStyle w:val="ListParagraph"/>
        <w:spacing w:before="120" w:after="120" w:line="276" w:lineRule="auto"/>
        <w:ind w:left="930"/>
        <w:textAlignment w:val="baseline"/>
        <w:rPr>
          <w:rFonts w:asciiTheme="minorHAnsi" w:eastAsiaTheme="minorEastAsia" w:hAnsiTheme="minorHAnsi" w:cstheme="minorHAnsi"/>
          <w:sz w:val="22"/>
          <w:szCs w:val="22"/>
          <w:u w:val="single"/>
          <w:lang w:val="en-US" w:eastAsia="en-US"/>
        </w:rPr>
      </w:pPr>
      <w:r w:rsidRPr="00DD6227">
        <w:rPr>
          <w:rFonts w:asciiTheme="minorHAnsi" w:eastAsiaTheme="minorEastAsia" w:hAnsiTheme="minorHAnsi" w:cstheme="minorHAnsi"/>
          <w:sz w:val="22"/>
          <w:szCs w:val="22"/>
          <w:u w:val="single"/>
          <w:lang w:val="en-US" w:eastAsia="en-US"/>
        </w:rPr>
        <w:lastRenderedPageBreak/>
        <w:t>Charging fees to provide relief</w:t>
      </w:r>
    </w:p>
    <w:p w14:paraId="55505BF1" w14:textId="7225301B" w:rsidR="005F14A0" w:rsidRPr="00DD6227" w:rsidRDefault="00D0410C" w:rsidP="00CC1123">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A charity </w:t>
      </w:r>
      <w:r w:rsidR="00721202">
        <w:rPr>
          <w:rFonts w:asciiTheme="minorHAnsi" w:eastAsiaTheme="minorEastAsia" w:hAnsiTheme="minorHAnsi" w:cstheme="minorHAnsi"/>
          <w:sz w:val="22"/>
          <w:szCs w:val="22"/>
          <w:lang w:val="en-US" w:eastAsia="en-US"/>
        </w:rPr>
        <w:t>that</w:t>
      </w:r>
      <w:r w:rsidR="00721202" w:rsidRPr="00DD6227">
        <w:rPr>
          <w:rFonts w:asciiTheme="minorHAnsi" w:eastAsiaTheme="minorEastAsia" w:hAnsiTheme="minorHAnsi" w:cstheme="minorHAnsi"/>
          <w:sz w:val="22"/>
          <w:szCs w:val="22"/>
          <w:lang w:val="en-US" w:eastAsia="en-US"/>
        </w:rPr>
        <w:t xml:space="preserve"> </w:t>
      </w:r>
      <w:r w:rsidRPr="00DD6227">
        <w:rPr>
          <w:rFonts w:asciiTheme="minorHAnsi" w:eastAsiaTheme="minorEastAsia" w:hAnsiTheme="minorHAnsi" w:cstheme="minorHAnsi"/>
          <w:sz w:val="22"/>
          <w:szCs w:val="22"/>
          <w:lang w:val="en-US" w:eastAsia="en-US"/>
        </w:rPr>
        <w:t xml:space="preserve">charges for its services may have a </w:t>
      </w:r>
      <w:r w:rsidR="00721202">
        <w:rPr>
          <w:rFonts w:asciiTheme="minorHAnsi" w:eastAsiaTheme="minorEastAsia" w:hAnsiTheme="minorHAnsi" w:cstheme="minorHAnsi"/>
          <w:sz w:val="22"/>
          <w:szCs w:val="22"/>
          <w:lang w:val="en-US" w:eastAsia="en-US"/>
        </w:rPr>
        <w:t xml:space="preserve">purpose of </w:t>
      </w:r>
      <w:r w:rsidRPr="00DD6227">
        <w:rPr>
          <w:rFonts w:asciiTheme="minorHAnsi" w:eastAsiaTheme="minorEastAsia" w:hAnsiTheme="minorHAnsi" w:cstheme="minorHAnsi"/>
          <w:sz w:val="22"/>
          <w:szCs w:val="22"/>
          <w:lang w:val="en-US" w:eastAsia="en-US"/>
        </w:rPr>
        <w:t xml:space="preserve">benevolent relief. </w:t>
      </w:r>
      <w:r w:rsidR="0001715A" w:rsidRPr="00DD6227">
        <w:rPr>
          <w:rFonts w:asciiTheme="minorHAnsi" w:eastAsiaTheme="minorEastAsia" w:hAnsiTheme="minorHAnsi" w:cstheme="minorHAnsi"/>
          <w:sz w:val="22"/>
          <w:szCs w:val="22"/>
          <w:lang w:val="en-US" w:eastAsia="en-US"/>
        </w:rPr>
        <w:t>But</w:t>
      </w:r>
      <w:r w:rsidR="008D5A5A" w:rsidRPr="00DD6227">
        <w:rPr>
          <w:rFonts w:asciiTheme="minorHAnsi" w:eastAsiaTheme="minorEastAsia" w:hAnsiTheme="minorHAnsi" w:cstheme="minorHAnsi"/>
          <w:sz w:val="22"/>
          <w:szCs w:val="22"/>
          <w:lang w:val="en-US" w:eastAsia="en-US"/>
        </w:rPr>
        <w:t xml:space="preserve"> </w:t>
      </w:r>
      <w:r w:rsidR="009C40A2">
        <w:rPr>
          <w:rFonts w:asciiTheme="minorHAnsi" w:eastAsiaTheme="minorEastAsia" w:hAnsiTheme="minorHAnsi" w:cstheme="minorHAnsi"/>
          <w:sz w:val="22"/>
          <w:szCs w:val="22"/>
          <w:lang w:val="en-US" w:eastAsia="en-US"/>
        </w:rPr>
        <w:t xml:space="preserve">it </w:t>
      </w:r>
      <w:r w:rsidR="008D5A5A" w:rsidRPr="00DD6227">
        <w:rPr>
          <w:rFonts w:asciiTheme="minorHAnsi" w:eastAsiaTheme="minorEastAsia" w:hAnsiTheme="minorHAnsi" w:cstheme="minorHAnsi"/>
          <w:sz w:val="22"/>
          <w:szCs w:val="22"/>
          <w:lang w:val="en-US" w:eastAsia="en-US"/>
        </w:rPr>
        <w:t>depend</w:t>
      </w:r>
      <w:r w:rsidR="009C40A2">
        <w:rPr>
          <w:rFonts w:asciiTheme="minorHAnsi" w:eastAsiaTheme="minorEastAsia" w:hAnsiTheme="minorHAnsi" w:cstheme="minorHAnsi"/>
          <w:sz w:val="22"/>
          <w:szCs w:val="22"/>
          <w:lang w:val="en-US" w:eastAsia="en-US"/>
        </w:rPr>
        <w:t>s</w:t>
      </w:r>
      <w:r w:rsidR="008D5A5A" w:rsidRPr="00DD6227">
        <w:rPr>
          <w:rFonts w:asciiTheme="minorHAnsi" w:eastAsiaTheme="minorEastAsia" w:hAnsiTheme="minorHAnsi" w:cstheme="minorHAnsi"/>
          <w:sz w:val="22"/>
          <w:szCs w:val="22"/>
          <w:lang w:val="en-US" w:eastAsia="en-US"/>
        </w:rPr>
        <w:t xml:space="preserve"> on the nature of the service, the need it </w:t>
      </w:r>
      <w:r w:rsidR="00124741">
        <w:rPr>
          <w:rFonts w:asciiTheme="minorHAnsi" w:eastAsiaTheme="minorEastAsia" w:hAnsiTheme="minorHAnsi" w:cstheme="minorHAnsi"/>
          <w:sz w:val="22"/>
          <w:szCs w:val="22"/>
          <w:lang w:val="en-US" w:eastAsia="en-US"/>
        </w:rPr>
        <w:t xml:space="preserve">intends </w:t>
      </w:r>
      <w:r w:rsidR="008D5A5A" w:rsidRPr="00DD6227">
        <w:rPr>
          <w:rFonts w:asciiTheme="minorHAnsi" w:eastAsiaTheme="minorEastAsia" w:hAnsiTheme="minorHAnsi" w:cstheme="minorHAnsi"/>
          <w:sz w:val="22"/>
          <w:szCs w:val="22"/>
          <w:lang w:val="en-US" w:eastAsia="en-US"/>
        </w:rPr>
        <w:t>to relieve, and the</w:t>
      </w:r>
      <w:r w:rsidR="00231DFE" w:rsidRPr="00DD6227">
        <w:rPr>
          <w:rFonts w:asciiTheme="minorHAnsi" w:eastAsiaTheme="minorEastAsia" w:hAnsiTheme="minorHAnsi" w:cstheme="minorHAnsi"/>
          <w:sz w:val="22"/>
          <w:szCs w:val="22"/>
          <w:lang w:val="en-US" w:eastAsia="en-US"/>
        </w:rPr>
        <w:t xml:space="preserve"> fees charged.</w:t>
      </w:r>
    </w:p>
    <w:p w14:paraId="1ED66DC1" w14:textId="6A78379B" w:rsidR="00231DFE" w:rsidRPr="00DD6227" w:rsidRDefault="00231DFE" w:rsidP="00CC1123">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If a charity’s purpose is </w:t>
      </w:r>
      <w:r w:rsidR="00440BAD" w:rsidRPr="00DD6227">
        <w:rPr>
          <w:rFonts w:asciiTheme="minorHAnsi" w:eastAsiaTheme="minorEastAsia" w:hAnsiTheme="minorHAnsi" w:cstheme="minorHAnsi"/>
          <w:sz w:val="22"/>
          <w:szCs w:val="22"/>
          <w:lang w:val="en-US" w:eastAsia="en-US"/>
        </w:rPr>
        <w:t xml:space="preserve">to provide benevolent relief of poverty, </w:t>
      </w:r>
      <w:r w:rsidR="0067240F">
        <w:rPr>
          <w:rFonts w:asciiTheme="minorHAnsi" w:eastAsiaTheme="minorEastAsia" w:hAnsiTheme="minorHAnsi" w:cstheme="minorHAnsi"/>
          <w:sz w:val="22"/>
          <w:szCs w:val="22"/>
          <w:lang w:val="en-US" w:eastAsia="en-US"/>
        </w:rPr>
        <w:t xml:space="preserve">its fees </w:t>
      </w:r>
      <w:r w:rsidR="000F1E40" w:rsidRPr="00DD6227">
        <w:rPr>
          <w:rFonts w:asciiTheme="minorHAnsi" w:eastAsiaTheme="minorEastAsia" w:hAnsiTheme="minorHAnsi" w:cstheme="minorHAnsi"/>
          <w:sz w:val="22"/>
          <w:szCs w:val="22"/>
          <w:lang w:val="en-US" w:eastAsia="en-US"/>
        </w:rPr>
        <w:t xml:space="preserve">for </w:t>
      </w:r>
      <w:r w:rsidR="00B334E7">
        <w:rPr>
          <w:rFonts w:asciiTheme="minorHAnsi" w:eastAsiaTheme="minorEastAsia" w:hAnsiTheme="minorHAnsi" w:cstheme="minorHAnsi"/>
          <w:sz w:val="22"/>
          <w:szCs w:val="22"/>
          <w:lang w:val="en-US" w:eastAsia="en-US"/>
        </w:rPr>
        <w:t>the</w:t>
      </w:r>
      <w:r w:rsidR="00B334E7" w:rsidRPr="00DD6227">
        <w:rPr>
          <w:rFonts w:asciiTheme="minorHAnsi" w:eastAsiaTheme="minorEastAsia" w:hAnsiTheme="minorHAnsi" w:cstheme="minorHAnsi"/>
          <w:sz w:val="22"/>
          <w:szCs w:val="22"/>
          <w:lang w:val="en-US" w:eastAsia="en-US"/>
        </w:rPr>
        <w:t xml:space="preserve"> </w:t>
      </w:r>
      <w:r w:rsidR="000F1E40" w:rsidRPr="00DD6227">
        <w:rPr>
          <w:rFonts w:asciiTheme="minorHAnsi" w:eastAsiaTheme="minorEastAsia" w:hAnsiTheme="minorHAnsi" w:cstheme="minorHAnsi"/>
          <w:sz w:val="22"/>
          <w:szCs w:val="22"/>
          <w:lang w:val="en-US" w:eastAsia="en-US"/>
        </w:rPr>
        <w:t>services</w:t>
      </w:r>
      <w:r w:rsidR="00B334E7">
        <w:rPr>
          <w:rFonts w:asciiTheme="minorHAnsi" w:eastAsiaTheme="minorEastAsia" w:hAnsiTheme="minorHAnsi" w:cstheme="minorHAnsi"/>
          <w:sz w:val="22"/>
          <w:szCs w:val="22"/>
          <w:lang w:val="en-US" w:eastAsia="en-US"/>
        </w:rPr>
        <w:t xml:space="preserve"> </w:t>
      </w:r>
      <w:r w:rsidR="00F8608E">
        <w:rPr>
          <w:rFonts w:asciiTheme="minorHAnsi" w:eastAsiaTheme="minorEastAsia" w:hAnsiTheme="minorHAnsi" w:cstheme="minorHAnsi"/>
          <w:sz w:val="22"/>
          <w:szCs w:val="22"/>
          <w:lang w:val="en-US" w:eastAsia="en-US"/>
        </w:rPr>
        <w:t xml:space="preserve">that </w:t>
      </w:r>
      <w:r w:rsidR="00B334E7">
        <w:rPr>
          <w:rFonts w:asciiTheme="minorHAnsi" w:eastAsiaTheme="minorEastAsia" w:hAnsiTheme="minorHAnsi" w:cstheme="minorHAnsi"/>
          <w:sz w:val="22"/>
          <w:szCs w:val="22"/>
          <w:lang w:val="en-US" w:eastAsia="en-US"/>
        </w:rPr>
        <w:t xml:space="preserve">provide </w:t>
      </w:r>
      <w:r w:rsidR="00F8608E">
        <w:rPr>
          <w:rFonts w:asciiTheme="minorHAnsi" w:eastAsiaTheme="minorEastAsia" w:hAnsiTheme="minorHAnsi" w:cstheme="minorHAnsi"/>
          <w:sz w:val="22"/>
          <w:szCs w:val="22"/>
          <w:lang w:val="en-US" w:eastAsia="en-US"/>
        </w:rPr>
        <w:t xml:space="preserve">relief </w:t>
      </w:r>
      <w:r w:rsidR="000F1E40" w:rsidRPr="00DD6227">
        <w:rPr>
          <w:rFonts w:asciiTheme="minorHAnsi" w:eastAsiaTheme="minorEastAsia" w:hAnsiTheme="minorHAnsi" w:cstheme="minorHAnsi"/>
          <w:sz w:val="22"/>
          <w:szCs w:val="22"/>
          <w:lang w:val="en-US" w:eastAsia="en-US"/>
        </w:rPr>
        <w:t>must</w:t>
      </w:r>
      <w:r w:rsidR="00C30745" w:rsidRPr="00DD6227">
        <w:rPr>
          <w:rFonts w:asciiTheme="minorHAnsi" w:eastAsiaTheme="minorEastAsia" w:hAnsiTheme="minorHAnsi" w:cstheme="minorHAnsi"/>
          <w:sz w:val="22"/>
          <w:szCs w:val="22"/>
          <w:lang w:val="en-US" w:eastAsia="en-US"/>
        </w:rPr>
        <w:t xml:space="preserve"> </w:t>
      </w:r>
      <w:r w:rsidR="000F1E40" w:rsidRPr="00DD6227">
        <w:rPr>
          <w:rFonts w:asciiTheme="minorHAnsi" w:eastAsiaTheme="minorEastAsia" w:hAnsiTheme="minorHAnsi" w:cstheme="minorHAnsi"/>
          <w:sz w:val="22"/>
          <w:szCs w:val="22"/>
          <w:lang w:val="en-US" w:eastAsia="en-US"/>
        </w:rPr>
        <w:t xml:space="preserve">be below </w:t>
      </w:r>
      <w:r w:rsidR="00F8608E">
        <w:rPr>
          <w:rFonts w:asciiTheme="minorHAnsi" w:eastAsiaTheme="minorEastAsia" w:hAnsiTheme="minorHAnsi" w:cstheme="minorHAnsi"/>
          <w:sz w:val="22"/>
          <w:szCs w:val="22"/>
          <w:lang w:val="en-US" w:eastAsia="en-US"/>
        </w:rPr>
        <w:t xml:space="preserve">the </w:t>
      </w:r>
      <w:r w:rsidR="000F1E40" w:rsidRPr="00DD6227">
        <w:rPr>
          <w:rFonts w:asciiTheme="minorHAnsi" w:eastAsiaTheme="minorEastAsia" w:hAnsiTheme="minorHAnsi" w:cstheme="minorHAnsi"/>
          <w:sz w:val="22"/>
          <w:szCs w:val="22"/>
          <w:lang w:val="en-US" w:eastAsia="en-US"/>
        </w:rPr>
        <w:t xml:space="preserve">market rates for comparable services. </w:t>
      </w:r>
      <w:r w:rsidR="003956AE" w:rsidRPr="00DD6227">
        <w:rPr>
          <w:rFonts w:asciiTheme="minorHAnsi" w:eastAsiaTheme="minorEastAsia" w:hAnsiTheme="minorHAnsi" w:cstheme="minorHAnsi"/>
          <w:sz w:val="22"/>
          <w:szCs w:val="22"/>
          <w:lang w:val="en-US" w:eastAsia="en-US"/>
        </w:rPr>
        <w:t xml:space="preserve">For example, </w:t>
      </w:r>
      <w:r w:rsidR="000D385F" w:rsidRPr="00DD6227">
        <w:rPr>
          <w:rFonts w:asciiTheme="minorHAnsi" w:eastAsiaTheme="minorEastAsia" w:hAnsiTheme="minorHAnsi" w:cstheme="minorHAnsi"/>
          <w:sz w:val="22"/>
          <w:szCs w:val="22"/>
          <w:lang w:val="en-US" w:eastAsia="en-US"/>
        </w:rPr>
        <w:t xml:space="preserve">a charity with a purpose of relieving poverty </w:t>
      </w:r>
      <w:r w:rsidR="00F8608E">
        <w:rPr>
          <w:rFonts w:asciiTheme="minorHAnsi" w:eastAsiaTheme="minorEastAsia" w:hAnsiTheme="minorHAnsi" w:cstheme="minorHAnsi"/>
          <w:sz w:val="22"/>
          <w:szCs w:val="22"/>
          <w:lang w:val="en-US" w:eastAsia="en-US"/>
        </w:rPr>
        <w:t>by providing</w:t>
      </w:r>
      <w:r w:rsidR="002807D5" w:rsidRPr="00DD6227">
        <w:rPr>
          <w:rFonts w:asciiTheme="minorHAnsi" w:eastAsiaTheme="minorEastAsia" w:hAnsiTheme="minorHAnsi" w:cstheme="minorHAnsi"/>
          <w:sz w:val="22"/>
          <w:szCs w:val="22"/>
          <w:lang w:val="en-US" w:eastAsia="en-US"/>
        </w:rPr>
        <w:t xml:space="preserve"> rental</w:t>
      </w:r>
      <w:r w:rsidR="000D385F" w:rsidRPr="00DD6227">
        <w:rPr>
          <w:rFonts w:asciiTheme="minorHAnsi" w:eastAsiaTheme="minorEastAsia" w:hAnsiTheme="minorHAnsi" w:cstheme="minorHAnsi"/>
          <w:sz w:val="22"/>
          <w:szCs w:val="22"/>
          <w:lang w:val="en-US" w:eastAsia="en-US"/>
        </w:rPr>
        <w:t xml:space="preserve"> housing </w:t>
      </w:r>
      <w:r w:rsidR="00D350A7">
        <w:rPr>
          <w:rFonts w:asciiTheme="minorHAnsi" w:eastAsiaTheme="minorEastAsia" w:hAnsiTheme="minorHAnsi" w:cstheme="minorHAnsi"/>
          <w:sz w:val="22"/>
          <w:szCs w:val="22"/>
          <w:lang w:val="en-US" w:eastAsia="en-US"/>
        </w:rPr>
        <w:t>must</w:t>
      </w:r>
      <w:r w:rsidR="00D350A7" w:rsidRPr="00DD6227">
        <w:rPr>
          <w:rFonts w:asciiTheme="minorHAnsi" w:eastAsiaTheme="minorEastAsia" w:hAnsiTheme="minorHAnsi" w:cstheme="minorHAnsi"/>
          <w:sz w:val="22"/>
          <w:szCs w:val="22"/>
          <w:lang w:val="en-US" w:eastAsia="en-US"/>
        </w:rPr>
        <w:t xml:space="preserve"> </w:t>
      </w:r>
      <w:r w:rsidR="000D385F" w:rsidRPr="00DD6227">
        <w:rPr>
          <w:rFonts w:asciiTheme="minorHAnsi" w:eastAsiaTheme="minorEastAsia" w:hAnsiTheme="minorHAnsi" w:cstheme="minorHAnsi"/>
          <w:sz w:val="22"/>
          <w:szCs w:val="22"/>
          <w:lang w:val="en-US" w:eastAsia="en-US"/>
        </w:rPr>
        <w:t>charge its tenants rent at below-market rates.</w:t>
      </w:r>
      <w:r w:rsidR="002A0387" w:rsidRPr="00DD6227">
        <w:rPr>
          <w:rStyle w:val="FootnoteReference"/>
          <w:rFonts w:asciiTheme="minorHAnsi" w:eastAsiaTheme="minorEastAsia" w:hAnsiTheme="minorHAnsi" w:cstheme="minorHAnsi"/>
          <w:sz w:val="22"/>
          <w:szCs w:val="22"/>
          <w:lang w:val="en-US" w:eastAsia="en-US"/>
        </w:rPr>
        <w:footnoteReference w:id="30"/>
      </w:r>
    </w:p>
    <w:p w14:paraId="73D0705D" w14:textId="60FF0E96" w:rsidR="003956AE" w:rsidRPr="00DD6227" w:rsidRDefault="003956AE" w:rsidP="00CC1123">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If a charity’s purpose is to relieve another benevolent need, such as sickness, </w:t>
      </w:r>
      <w:r w:rsidR="00F8608E">
        <w:rPr>
          <w:rFonts w:asciiTheme="minorHAnsi" w:eastAsiaTheme="minorEastAsia" w:hAnsiTheme="minorHAnsi" w:cstheme="minorHAnsi"/>
          <w:sz w:val="22"/>
          <w:szCs w:val="22"/>
          <w:lang w:val="en-US" w:eastAsia="en-US"/>
        </w:rPr>
        <w:t>its fees</w:t>
      </w:r>
      <w:r w:rsidR="00A503F4" w:rsidRPr="00DD6227">
        <w:rPr>
          <w:rFonts w:asciiTheme="minorHAnsi" w:eastAsiaTheme="minorEastAsia" w:hAnsiTheme="minorHAnsi" w:cstheme="minorHAnsi"/>
          <w:sz w:val="22"/>
          <w:szCs w:val="22"/>
          <w:lang w:val="en-US" w:eastAsia="en-US"/>
        </w:rPr>
        <w:t xml:space="preserve"> for</w:t>
      </w:r>
      <w:r w:rsidR="00F8608E" w:rsidRPr="00DD6227">
        <w:rPr>
          <w:rFonts w:asciiTheme="minorHAnsi" w:eastAsiaTheme="minorEastAsia" w:hAnsiTheme="minorHAnsi" w:cstheme="minorHAnsi"/>
          <w:sz w:val="22"/>
          <w:szCs w:val="22"/>
          <w:lang w:val="en-US" w:eastAsia="en-US"/>
        </w:rPr>
        <w:t xml:space="preserve"> </w:t>
      </w:r>
      <w:r w:rsidR="00A503F4" w:rsidRPr="00DD6227">
        <w:rPr>
          <w:rFonts w:asciiTheme="minorHAnsi" w:eastAsiaTheme="minorEastAsia" w:hAnsiTheme="minorHAnsi" w:cstheme="minorHAnsi"/>
          <w:sz w:val="22"/>
          <w:szCs w:val="22"/>
          <w:lang w:val="en-US" w:eastAsia="en-US"/>
        </w:rPr>
        <w:t>services</w:t>
      </w:r>
      <w:r w:rsidR="00C85F1D">
        <w:rPr>
          <w:rFonts w:asciiTheme="minorHAnsi" w:eastAsiaTheme="minorEastAsia" w:hAnsiTheme="minorHAnsi" w:cstheme="minorHAnsi"/>
          <w:sz w:val="22"/>
          <w:szCs w:val="22"/>
          <w:lang w:val="en-US" w:eastAsia="en-US"/>
        </w:rPr>
        <w:t xml:space="preserve"> to beneficiaries</w:t>
      </w:r>
      <w:r w:rsidR="00A503F4" w:rsidRPr="00DD6227">
        <w:rPr>
          <w:rFonts w:asciiTheme="minorHAnsi" w:eastAsiaTheme="minorEastAsia" w:hAnsiTheme="minorHAnsi" w:cstheme="minorHAnsi"/>
          <w:sz w:val="22"/>
          <w:szCs w:val="22"/>
          <w:lang w:val="en-US" w:eastAsia="en-US"/>
        </w:rPr>
        <w:t xml:space="preserve"> may be comparable to </w:t>
      </w:r>
      <w:r w:rsidR="00205D16" w:rsidRPr="00DD6227">
        <w:rPr>
          <w:rFonts w:asciiTheme="minorHAnsi" w:eastAsiaTheme="minorEastAsia" w:hAnsiTheme="minorHAnsi" w:cstheme="minorHAnsi"/>
          <w:sz w:val="22"/>
          <w:szCs w:val="22"/>
          <w:lang w:val="en-US" w:eastAsia="en-US"/>
        </w:rPr>
        <w:t xml:space="preserve">market rates. For example, in </w:t>
      </w:r>
      <w:proofErr w:type="spellStart"/>
      <w:r w:rsidR="00205D16" w:rsidRPr="00DD6227">
        <w:rPr>
          <w:rFonts w:asciiTheme="minorHAnsi" w:eastAsiaTheme="minorEastAsia" w:hAnsiTheme="minorHAnsi" w:cstheme="minorHAnsi"/>
          <w:i/>
          <w:iCs/>
          <w:sz w:val="22"/>
          <w:szCs w:val="22"/>
          <w:lang w:val="en-US" w:eastAsia="en-US"/>
        </w:rPr>
        <w:t>Cairnmillar</w:t>
      </w:r>
      <w:proofErr w:type="spellEnd"/>
      <w:r w:rsidR="009E579A">
        <w:rPr>
          <w:rFonts w:asciiTheme="minorHAnsi" w:eastAsiaTheme="minorEastAsia" w:hAnsiTheme="minorHAnsi" w:cstheme="minorHAnsi"/>
          <w:i/>
          <w:iCs/>
          <w:sz w:val="22"/>
          <w:szCs w:val="22"/>
          <w:lang w:val="en-US" w:eastAsia="en-US"/>
        </w:rPr>
        <w:t xml:space="preserve"> Institute</w:t>
      </w:r>
      <w:r w:rsidR="00205D16" w:rsidRPr="00DD6227">
        <w:rPr>
          <w:rFonts w:asciiTheme="minorHAnsi" w:eastAsiaTheme="minorEastAsia" w:hAnsiTheme="minorHAnsi" w:cstheme="minorHAnsi"/>
          <w:sz w:val="22"/>
          <w:szCs w:val="22"/>
          <w:lang w:val="en-US" w:eastAsia="en-US"/>
        </w:rPr>
        <w:t xml:space="preserve">, the applicant entity charged rates for psychotherapy that were comparable to </w:t>
      </w:r>
      <w:r w:rsidR="00187B25">
        <w:rPr>
          <w:rFonts w:asciiTheme="minorHAnsi" w:eastAsiaTheme="minorEastAsia" w:hAnsiTheme="minorHAnsi" w:cstheme="minorHAnsi"/>
          <w:sz w:val="22"/>
          <w:szCs w:val="22"/>
          <w:lang w:val="en-US" w:eastAsia="en-US"/>
        </w:rPr>
        <w:t>rates</w:t>
      </w:r>
      <w:r w:rsidR="00187B25" w:rsidRPr="00DD6227">
        <w:rPr>
          <w:rFonts w:asciiTheme="minorHAnsi" w:eastAsiaTheme="minorEastAsia" w:hAnsiTheme="minorHAnsi" w:cstheme="minorHAnsi"/>
          <w:sz w:val="22"/>
          <w:szCs w:val="22"/>
          <w:lang w:val="en-US" w:eastAsia="en-US"/>
        </w:rPr>
        <w:t xml:space="preserve"> </w:t>
      </w:r>
      <w:r w:rsidR="00205D16" w:rsidRPr="00DD6227">
        <w:rPr>
          <w:rFonts w:asciiTheme="minorHAnsi" w:eastAsiaTheme="minorEastAsia" w:hAnsiTheme="minorHAnsi" w:cstheme="minorHAnsi"/>
          <w:sz w:val="22"/>
          <w:szCs w:val="22"/>
          <w:lang w:val="en-US" w:eastAsia="en-US"/>
        </w:rPr>
        <w:t>charged by private practices</w:t>
      </w:r>
      <w:r w:rsidR="00B96448" w:rsidRPr="00DD6227">
        <w:rPr>
          <w:rFonts w:asciiTheme="minorHAnsi" w:eastAsiaTheme="minorEastAsia" w:hAnsiTheme="minorHAnsi" w:cstheme="minorHAnsi"/>
          <w:sz w:val="22"/>
          <w:szCs w:val="22"/>
          <w:lang w:val="en-US" w:eastAsia="en-US"/>
        </w:rPr>
        <w:t xml:space="preserve"> for</w:t>
      </w:r>
      <w:r w:rsidR="00205D16" w:rsidRPr="00DD6227">
        <w:rPr>
          <w:rFonts w:asciiTheme="minorHAnsi" w:eastAsiaTheme="minorEastAsia" w:hAnsiTheme="minorHAnsi" w:cstheme="minorHAnsi"/>
          <w:sz w:val="22"/>
          <w:szCs w:val="22"/>
          <w:lang w:val="en-US" w:eastAsia="en-US"/>
        </w:rPr>
        <w:t xml:space="preserve"> similar services.</w:t>
      </w:r>
      <w:r w:rsidR="0002331E" w:rsidRPr="00DD6227">
        <w:rPr>
          <w:rStyle w:val="FootnoteReference"/>
          <w:rFonts w:asciiTheme="minorHAnsi" w:eastAsiaTheme="minorEastAsia" w:hAnsiTheme="minorHAnsi" w:cstheme="minorHAnsi"/>
          <w:sz w:val="22"/>
          <w:szCs w:val="22"/>
          <w:lang w:val="en-US" w:eastAsia="en-US"/>
        </w:rPr>
        <w:footnoteReference w:id="31"/>
      </w:r>
      <w:r w:rsidR="00205D16" w:rsidRPr="00DD6227">
        <w:rPr>
          <w:rFonts w:asciiTheme="minorHAnsi" w:eastAsiaTheme="minorEastAsia" w:hAnsiTheme="minorHAnsi" w:cstheme="minorHAnsi"/>
          <w:sz w:val="22"/>
          <w:szCs w:val="22"/>
          <w:lang w:val="en-US" w:eastAsia="en-US"/>
        </w:rPr>
        <w:t xml:space="preserve"> Nevertheless, </w:t>
      </w:r>
      <w:r w:rsidR="00017172" w:rsidRPr="00DD6227">
        <w:rPr>
          <w:rFonts w:asciiTheme="minorHAnsi" w:eastAsiaTheme="minorEastAsia" w:hAnsiTheme="minorHAnsi" w:cstheme="minorHAnsi"/>
          <w:sz w:val="22"/>
          <w:szCs w:val="22"/>
          <w:lang w:val="en-US" w:eastAsia="en-US"/>
        </w:rPr>
        <w:t xml:space="preserve">the applicant entity was still found to have a </w:t>
      </w:r>
      <w:r w:rsidR="00187B25">
        <w:rPr>
          <w:rFonts w:asciiTheme="minorHAnsi" w:eastAsiaTheme="minorEastAsia" w:hAnsiTheme="minorHAnsi" w:cstheme="minorHAnsi"/>
          <w:sz w:val="22"/>
          <w:szCs w:val="22"/>
          <w:lang w:val="en-US" w:eastAsia="en-US"/>
        </w:rPr>
        <w:t xml:space="preserve">purpose of </w:t>
      </w:r>
      <w:r w:rsidR="00017172" w:rsidRPr="00DD6227">
        <w:rPr>
          <w:rFonts w:asciiTheme="minorHAnsi" w:eastAsiaTheme="minorEastAsia" w:hAnsiTheme="minorHAnsi" w:cstheme="minorHAnsi"/>
          <w:sz w:val="22"/>
          <w:szCs w:val="22"/>
          <w:lang w:val="en-US" w:eastAsia="en-US"/>
        </w:rPr>
        <w:t xml:space="preserve">benevolent relief </w:t>
      </w:r>
      <w:r w:rsidR="00A64408">
        <w:rPr>
          <w:rFonts w:asciiTheme="minorHAnsi" w:eastAsiaTheme="minorEastAsia" w:hAnsiTheme="minorHAnsi" w:cstheme="minorHAnsi"/>
          <w:sz w:val="22"/>
          <w:szCs w:val="22"/>
          <w:lang w:val="en-US" w:eastAsia="en-US"/>
        </w:rPr>
        <w:t>because the beneficiaries were in need due to their illness</w:t>
      </w:r>
      <w:r w:rsidR="00017172" w:rsidRPr="00DD6227">
        <w:rPr>
          <w:rFonts w:asciiTheme="minorHAnsi" w:eastAsiaTheme="minorEastAsia" w:hAnsiTheme="minorHAnsi" w:cstheme="minorHAnsi"/>
          <w:sz w:val="22"/>
          <w:szCs w:val="22"/>
          <w:lang w:val="en-US" w:eastAsia="en-US"/>
        </w:rPr>
        <w:t>.</w:t>
      </w:r>
      <w:r w:rsidR="0006025A" w:rsidRPr="00DD6227">
        <w:rPr>
          <w:rStyle w:val="FootnoteReference"/>
          <w:rFonts w:asciiTheme="minorHAnsi" w:eastAsiaTheme="minorEastAsia" w:hAnsiTheme="minorHAnsi" w:cstheme="minorHAnsi"/>
          <w:sz w:val="22"/>
          <w:szCs w:val="22"/>
          <w:lang w:val="en-US" w:eastAsia="en-US"/>
        </w:rPr>
        <w:footnoteReference w:id="32"/>
      </w:r>
      <w:r w:rsidR="00F02685" w:rsidRPr="00DD6227">
        <w:rPr>
          <w:rFonts w:asciiTheme="minorHAnsi" w:eastAsiaTheme="minorEastAsia" w:hAnsiTheme="minorHAnsi" w:cstheme="minorHAnsi"/>
          <w:sz w:val="22"/>
          <w:szCs w:val="22"/>
          <w:lang w:val="en-US" w:eastAsia="en-US"/>
        </w:rPr>
        <w:t xml:space="preserve"> This decision was upheld upon appeal.</w:t>
      </w:r>
      <w:r w:rsidR="00CB17DF" w:rsidRPr="00DD6227">
        <w:rPr>
          <w:rStyle w:val="FootnoteReference"/>
          <w:rFonts w:asciiTheme="minorHAnsi" w:eastAsiaTheme="minorEastAsia" w:hAnsiTheme="minorHAnsi" w:cstheme="minorHAnsi"/>
          <w:sz w:val="22"/>
          <w:szCs w:val="22"/>
          <w:lang w:val="en-US" w:eastAsia="en-US"/>
        </w:rPr>
        <w:footnoteReference w:id="33"/>
      </w:r>
    </w:p>
    <w:p w14:paraId="52C8FA91" w14:textId="1D0E81DA" w:rsidR="002D6E1F" w:rsidRDefault="002D6E1F" w:rsidP="005F14A0">
      <w:pPr>
        <w:pStyle w:val="ListParagraph"/>
        <w:spacing w:before="120" w:after="120" w:line="276" w:lineRule="auto"/>
        <w:ind w:left="930"/>
        <w:textAlignment w:val="baseline"/>
        <w:rPr>
          <w:rFonts w:asciiTheme="minorHAnsi" w:eastAsiaTheme="minorEastAsia" w:hAnsiTheme="minorHAnsi" w:cstheme="minorHAnsi"/>
          <w:sz w:val="22"/>
          <w:szCs w:val="22"/>
          <w:u w:val="single"/>
          <w:lang w:val="en-US" w:eastAsia="en-US"/>
        </w:rPr>
      </w:pPr>
      <w:r>
        <w:rPr>
          <w:rFonts w:asciiTheme="minorHAnsi" w:eastAsiaTheme="minorEastAsia" w:hAnsiTheme="minorHAnsi" w:cstheme="minorHAnsi"/>
          <w:sz w:val="22"/>
          <w:szCs w:val="22"/>
          <w:u w:val="single"/>
          <w:lang w:val="en-US" w:eastAsia="en-US"/>
        </w:rPr>
        <w:t>Relief may be provided outside Australia</w:t>
      </w:r>
    </w:p>
    <w:p w14:paraId="02E09B45" w14:textId="2DCC4011" w:rsidR="002D6E1F" w:rsidRDefault="00FF7B17" w:rsidP="00FF7B17">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u w:val="single"/>
          <w:lang w:val="en-US" w:eastAsia="en-US"/>
        </w:rPr>
      </w:pPr>
      <w:r>
        <w:rPr>
          <w:rFonts w:asciiTheme="minorHAnsi" w:eastAsiaTheme="minorEastAsia" w:hAnsiTheme="minorHAnsi" w:cstheme="minorHAnsi"/>
          <w:sz w:val="22"/>
          <w:szCs w:val="22"/>
          <w:lang w:val="en-US" w:eastAsia="en-US"/>
        </w:rPr>
        <w:t>The beneficiaries of benevolent relief do not need to be in Australia.</w:t>
      </w:r>
      <w:r w:rsidR="00A506A3">
        <w:rPr>
          <w:rStyle w:val="FootnoteReference"/>
          <w:rFonts w:asciiTheme="minorHAnsi" w:eastAsiaTheme="minorEastAsia" w:hAnsiTheme="minorHAnsi" w:cstheme="minorHAnsi"/>
          <w:sz w:val="22"/>
          <w:szCs w:val="22"/>
          <w:lang w:val="en-US" w:eastAsia="en-US"/>
        </w:rPr>
        <w:footnoteReference w:id="34"/>
      </w:r>
      <w:r>
        <w:rPr>
          <w:rFonts w:asciiTheme="minorHAnsi" w:eastAsiaTheme="minorEastAsia" w:hAnsiTheme="minorHAnsi" w:cstheme="minorHAnsi"/>
          <w:sz w:val="22"/>
          <w:szCs w:val="22"/>
          <w:lang w:val="en-US" w:eastAsia="en-US"/>
        </w:rPr>
        <w:t xml:space="preserve"> If a charity has a purpose of providing benevolent relief to people in need overseas, it </w:t>
      </w:r>
      <w:r w:rsidR="0022102D">
        <w:rPr>
          <w:rFonts w:asciiTheme="minorHAnsi" w:eastAsiaTheme="minorEastAsia" w:hAnsiTheme="minorHAnsi" w:cstheme="minorHAnsi"/>
          <w:sz w:val="22"/>
          <w:szCs w:val="22"/>
          <w:lang w:val="en-US" w:eastAsia="en-US"/>
        </w:rPr>
        <w:t>must</w:t>
      </w:r>
      <w:r>
        <w:rPr>
          <w:rFonts w:asciiTheme="minorHAnsi" w:eastAsiaTheme="minorEastAsia" w:hAnsiTheme="minorHAnsi" w:cstheme="minorHAnsi"/>
          <w:sz w:val="22"/>
          <w:szCs w:val="22"/>
          <w:lang w:val="en-US" w:eastAsia="en-US"/>
        </w:rPr>
        <w:t xml:space="preserve"> comply with </w:t>
      </w:r>
      <w:hyperlink r:id="rId12" w:history="1">
        <w:r w:rsidRPr="008A4BF8">
          <w:rPr>
            <w:rStyle w:val="Hyperlink"/>
            <w:rFonts w:asciiTheme="minorHAnsi" w:eastAsiaTheme="minorEastAsia" w:hAnsiTheme="minorHAnsi" w:cstheme="minorHAnsi"/>
            <w:sz w:val="22"/>
            <w:szCs w:val="22"/>
            <w:lang w:val="en-US" w:eastAsia="en-US"/>
          </w:rPr>
          <w:t>the External Conduct Standards</w:t>
        </w:r>
      </w:hyperlink>
      <w:r>
        <w:rPr>
          <w:rFonts w:asciiTheme="minorHAnsi" w:eastAsiaTheme="minorEastAsia" w:hAnsiTheme="minorHAnsi" w:cstheme="minorHAnsi"/>
          <w:sz w:val="22"/>
          <w:szCs w:val="22"/>
          <w:lang w:val="en-US" w:eastAsia="en-US"/>
        </w:rPr>
        <w:t>.</w:t>
      </w:r>
    </w:p>
    <w:p w14:paraId="19479830" w14:textId="03418038" w:rsidR="00AD348C" w:rsidRPr="00DD6227" w:rsidRDefault="00AD348C" w:rsidP="005F14A0">
      <w:pPr>
        <w:pStyle w:val="ListParagraph"/>
        <w:spacing w:before="120" w:after="120" w:line="276" w:lineRule="auto"/>
        <w:ind w:left="930"/>
        <w:textAlignment w:val="baseline"/>
        <w:rPr>
          <w:rFonts w:asciiTheme="minorHAnsi" w:eastAsiaTheme="minorEastAsia" w:hAnsiTheme="minorHAnsi" w:cstheme="minorHAnsi"/>
          <w:sz w:val="22"/>
          <w:szCs w:val="22"/>
          <w:u w:val="single"/>
          <w:lang w:val="en-US" w:eastAsia="en-US"/>
        </w:rPr>
      </w:pPr>
      <w:r w:rsidRPr="00DD6227">
        <w:rPr>
          <w:rFonts w:asciiTheme="minorHAnsi" w:eastAsiaTheme="minorEastAsia" w:hAnsiTheme="minorHAnsi" w:cstheme="minorHAnsi"/>
          <w:sz w:val="22"/>
          <w:szCs w:val="22"/>
          <w:u w:val="single"/>
          <w:lang w:val="en-US" w:eastAsia="en-US"/>
        </w:rPr>
        <w:t>Relief must be provided to human beings</w:t>
      </w:r>
    </w:p>
    <w:p w14:paraId="32AF679B" w14:textId="28829246" w:rsidR="002E66B6" w:rsidRPr="00DD6227" w:rsidRDefault="00AD348C" w:rsidP="0019446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u w:val="single"/>
          <w:lang w:val="en-US" w:eastAsia="en-US"/>
        </w:rPr>
      </w:pPr>
      <w:r w:rsidRPr="00DD6227">
        <w:rPr>
          <w:rFonts w:asciiTheme="minorHAnsi" w:eastAsiaTheme="minorEastAsia" w:hAnsiTheme="minorHAnsi" w:cstheme="minorHAnsi"/>
          <w:sz w:val="22"/>
          <w:szCs w:val="22"/>
          <w:lang w:val="en-US" w:eastAsia="en-US"/>
        </w:rPr>
        <w:t xml:space="preserve">To be a PBI, a </w:t>
      </w:r>
      <w:r w:rsidR="00E13766" w:rsidRPr="00DD6227">
        <w:rPr>
          <w:rFonts w:asciiTheme="minorHAnsi" w:eastAsiaTheme="minorEastAsia" w:hAnsiTheme="minorHAnsi" w:cstheme="minorHAnsi"/>
          <w:sz w:val="22"/>
          <w:szCs w:val="22"/>
          <w:lang w:val="en-US" w:eastAsia="en-US"/>
        </w:rPr>
        <w:t>char</w:t>
      </w:r>
      <w:r w:rsidRPr="00DD6227">
        <w:rPr>
          <w:rFonts w:asciiTheme="minorHAnsi" w:eastAsiaTheme="minorEastAsia" w:hAnsiTheme="minorHAnsi" w:cstheme="minorHAnsi"/>
          <w:sz w:val="22"/>
          <w:szCs w:val="22"/>
          <w:lang w:val="en-US" w:eastAsia="en-US"/>
        </w:rPr>
        <w:t xml:space="preserve">ity’s </w:t>
      </w:r>
      <w:r w:rsidR="008A008B" w:rsidRPr="00DD6227">
        <w:rPr>
          <w:rFonts w:asciiTheme="minorHAnsi" w:eastAsiaTheme="minorEastAsia" w:hAnsiTheme="minorHAnsi" w:cstheme="minorHAnsi"/>
          <w:sz w:val="22"/>
          <w:szCs w:val="22"/>
          <w:lang w:val="en-US" w:eastAsia="en-US"/>
        </w:rPr>
        <w:t xml:space="preserve">main </w:t>
      </w:r>
      <w:r w:rsidR="00194466" w:rsidRPr="00DD6227">
        <w:rPr>
          <w:rFonts w:asciiTheme="minorHAnsi" w:eastAsiaTheme="minorEastAsia" w:hAnsiTheme="minorHAnsi" w:cstheme="minorHAnsi"/>
          <w:sz w:val="22"/>
          <w:szCs w:val="22"/>
          <w:lang w:val="en-US" w:eastAsia="en-US"/>
        </w:rPr>
        <w:t>purpose must be to provide</w:t>
      </w:r>
      <w:r w:rsidR="004B0EAE">
        <w:rPr>
          <w:rFonts w:asciiTheme="minorHAnsi" w:eastAsiaTheme="minorEastAsia" w:hAnsiTheme="minorHAnsi" w:cstheme="minorHAnsi"/>
          <w:sz w:val="22"/>
          <w:szCs w:val="22"/>
          <w:lang w:val="en-US" w:eastAsia="en-US"/>
        </w:rPr>
        <w:t xml:space="preserve"> benevolent</w:t>
      </w:r>
      <w:r w:rsidR="00194466" w:rsidRPr="00DD6227">
        <w:rPr>
          <w:rFonts w:asciiTheme="minorHAnsi" w:eastAsiaTheme="minorEastAsia" w:hAnsiTheme="minorHAnsi" w:cstheme="minorHAnsi"/>
          <w:sz w:val="22"/>
          <w:szCs w:val="22"/>
          <w:lang w:val="en-US" w:eastAsia="en-US"/>
        </w:rPr>
        <w:t xml:space="preserve"> relief to humans who </w:t>
      </w:r>
      <w:r w:rsidR="004B0EAE">
        <w:rPr>
          <w:rFonts w:asciiTheme="minorHAnsi" w:eastAsiaTheme="minorEastAsia" w:hAnsiTheme="minorHAnsi" w:cstheme="minorHAnsi"/>
          <w:sz w:val="22"/>
          <w:szCs w:val="22"/>
          <w:lang w:val="en-US" w:eastAsia="en-US"/>
        </w:rPr>
        <w:t xml:space="preserve">have </w:t>
      </w:r>
      <w:r w:rsidR="005F44C3">
        <w:rPr>
          <w:rFonts w:asciiTheme="minorHAnsi" w:eastAsiaTheme="minorEastAsia" w:hAnsiTheme="minorHAnsi" w:cstheme="minorHAnsi"/>
          <w:sz w:val="22"/>
          <w:szCs w:val="22"/>
          <w:lang w:val="en-US" w:eastAsia="en-US"/>
        </w:rPr>
        <w:t xml:space="preserve">a </w:t>
      </w:r>
      <w:r w:rsidR="004B0EAE">
        <w:rPr>
          <w:rFonts w:asciiTheme="minorHAnsi" w:eastAsiaTheme="minorEastAsia" w:hAnsiTheme="minorHAnsi" w:cstheme="minorHAnsi"/>
          <w:sz w:val="22"/>
          <w:szCs w:val="22"/>
          <w:lang w:val="en-US" w:eastAsia="en-US"/>
        </w:rPr>
        <w:t>need that arouse</w:t>
      </w:r>
      <w:r w:rsidR="005F44C3">
        <w:rPr>
          <w:rFonts w:asciiTheme="minorHAnsi" w:eastAsiaTheme="minorEastAsia" w:hAnsiTheme="minorHAnsi" w:cstheme="minorHAnsi"/>
          <w:sz w:val="22"/>
          <w:szCs w:val="22"/>
          <w:lang w:val="en-US" w:eastAsia="en-US"/>
        </w:rPr>
        <w:t>s</w:t>
      </w:r>
      <w:r w:rsidR="004B0EAE">
        <w:rPr>
          <w:rFonts w:asciiTheme="minorHAnsi" w:eastAsiaTheme="minorEastAsia" w:hAnsiTheme="minorHAnsi" w:cstheme="minorHAnsi"/>
          <w:sz w:val="22"/>
          <w:szCs w:val="22"/>
          <w:lang w:val="en-US" w:eastAsia="en-US"/>
        </w:rPr>
        <w:t xml:space="preserve"> compassion </w:t>
      </w:r>
      <w:r w:rsidR="00CF19FD">
        <w:rPr>
          <w:rFonts w:asciiTheme="minorHAnsi" w:eastAsiaTheme="minorEastAsia" w:hAnsiTheme="minorHAnsi" w:cstheme="minorHAnsi"/>
          <w:sz w:val="22"/>
          <w:szCs w:val="22"/>
          <w:lang w:val="en-US" w:eastAsia="en-US"/>
        </w:rPr>
        <w:t xml:space="preserve">within </w:t>
      </w:r>
      <w:r w:rsidR="004B0EAE">
        <w:rPr>
          <w:rFonts w:asciiTheme="minorHAnsi" w:eastAsiaTheme="minorEastAsia" w:hAnsiTheme="minorHAnsi" w:cstheme="minorHAnsi"/>
          <w:sz w:val="22"/>
          <w:szCs w:val="22"/>
          <w:lang w:val="en-US" w:eastAsia="en-US"/>
        </w:rPr>
        <w:t>the community.</w:t>
      </w:r>
      <w:r w:rsidR="00194466" w:rsidRPr="00DD6227">
        <w:rPr>
          <w:rFonts w:asciiTheme="minorHAnsi" w:eastAsiaTheme="minorEastAsia" w:hAnsiTheme="minorHAnsi" w:cstheme="minorHAnsi"/>
          <w:sz w:val="22"/>
          <w:szCs w:val="22"/>
          <w:lang w:val="en-US" w:eastAsia="en-US"/>
        </w:rPr>
        <w:t xml:space="preserve"> A </w:t>
      </w:r>
      <w:r w:rsidR="00E13766" w:rsidRPr="00DD6227">
        <w:rPr>
          <w:rFonts w:asciiTheme="minorHAnsi" w:eastAsiaTheme="minorEastAsia" w:hAnsiTheme="minorHAnsi" w:cstheme="minorHAnsi"/>
          <w:sz w:val="22"/>
          <w:szCs w:val="22"/>
          <w:lang w:val="en-US" w:eastAsia="en-US"/>
        </w:rPr>
        <w:t>char</w:t>
      </w:r>
      <w:r w:rsidR="00194466" w:rsidRPr="00DD6227">
        <w:rPr>
          <w:rFonts w:asciiTheme="minorHAnsi" w:eastAsiaTheme="minorEastAsia" w:hAnsiTheme="minorHAnsi" w:cstheme="minorHAnsi"/>
          <w:sz w:val="22"/>
          <w:szCs w:val="22"/>
          <w:lang w:val="en-US" w:eastAsia="en-US"/>
        </w:rPr>
        <w:t xml:space="preserve">ity </w:t>
      </w:r>
      <w:r w:rsidR="00BF5372">
        <w:rPr>
          <w:rFonts w:asciiTheme="minorHAnsi" w:eastAsiaTheme="minorEastAsia" w:hAnsiTheme="minorHAnsi" w:cstheme="minorHAnsi"/>
          <w:sz w:val="22"/>
          <w:szCs w:val="22"/>
          <w:lang w:val="en-US" w:eastAsia="en-US"/>
        </w:rPr>
        <w:t>that</w:t>
      </w:r>
      <w:r w:rsidR="00BF5372" w:rsidRPr="00DD6227">
        <w:rPr>
          <w:rFonts w:asciiTheme="minorHAnsi" w:eastAsiaTheme="minorEastAsia" w:hAnsiTheme="minorHAnsi" w:cstheme="minorHAnsi"/>
          <w:sz w:val="22"/>
          <w:szCs w:val="22"/>
          <w:lang w:val="en-US" w:eastAsia="en-US"/>
        </w:rPr>
        <w:t xml:space="preserve"> </w:t>
      </w:r>
      <w:r w:rsidR="00194466" w:rsidRPr="00DD6227">
        <w:rPr>
          <w:rFonts w:asciiTheme="minorHAnsi" w:eastAsiaTheme="minorEastAsia" w:hAnsiTheme="minorHAnsi" w:cstheme="minorHAnsi"/>
          <w:sz w:val="22"/>
          <w:szCs w:val="22"/>
          <w:lang w:val="en-US" w:eastAsia="en-US"/>
        </w:rPr>
        <w:t xml:space="preserve">has a </w:t>
      </w:r>
      <w:r w:rsidR="008A008B" w:rsidRPr="00DD6227">
        <w:rPr>
          <w:rFonts w:asciiTheme="minorHAnsi" w:eastAsiaTheme="minorEastAsia" w:hAnsiTheme="minorHAnsi" w:cstheme="minorHAnsi"/>
          <w:sz w:val="22"/>
          <w:szCs w:val="22"/>
          <w:lang w:val="en-US" w:eastAsia="en-US"/>
        </w:rPr>
        <w:t xml:space="preserve">main </w:t>
      </w:r>
      <w:r w:rsidR="00194466" w:rsidRPr="00DD6227">
        <w:rPr>
          <w:rFonts w:asciiTheme="minorHAnsi" w:eastAsiaTheme="minorEastAsia" w:hAnsiTheme="minorHAnsi" w:cstheme="minorHAnsi"/>
          <w:sz w:val="22"/>
          <w:szCs w:val="22"/>
          <w:lang w:val="en-US" w:eastAsia="en-US"/>
        </w:rPr>
        <w:t xml:space="preserve">purpose of relieving the distress </w:t>
      </w:r>
      <w:r w:rsidR="00484A2D" w:rsidRPr="00DD6227">
        <w:rPr>
          <w:rFonts w:asciiTheme="minorHAnsi" w:eastAsiaTheme="minorEastAsia" w:hAnsiTheme="minorHAnsi" w:cstheme="minorHAnsi"/>
          <w:sz w:val="22"/>
          <w:szCs w:val="22"/>
          <w:lang w:val="en-US" w:eastAsia="en-US"/>
        </w:rPr>
        <w:t>or</w:t>
      </w:r>
      <w:r w:rsidR="00194466" w:rsidRPr="00DD6227">
        <w:rPr>
          <w:rFonts w:asciiTheme="minorHAnsi" w:eastAsiaTheme="minorEastAsia" w:hAnsiTheme="minorHAnsi" w:cstheme="minorHAnsi"/>
          <w:sz w:val="22"/>
          <w:szCs w:val="22"/>
          <w:lang w:val="en-US" w:eastAsia="en-US"/>
        </w:rPr>
        <w:t xml:space="preserve"> suffering of animals </w:t>
      </w:r>
      <w:r w:rsidR="00BF5372">
        <w:rPr>
          <w:rFonts w:asciiTheme="minorHAnsi" w:eastAsiaTheme="minorEastAsia" w:hAnsiTheme="minorHAnsi" w:cstheme="minorHAnsi"/>
          <w:sz w:val="22"/>
          <w:szCs w:val="22"/>
          <w:lang w:val="en-US" w:eastAsia="en-US"/>
        </w:rPr>
        <w:t>is</w:t>
      </w:r>
      <w:r w:rsidR="00BF5372" w:rsidRPr="00DD6227">
        <w:rPr>
          <w:rFonts w:asciiTheme="minorHAnsi" w:eastAsiaTheme="minorEastAsia" w:hAnsiTheme="minorHAnsi" w:cstheme="minorHAnsi"/>
          <w:sz w:val="22"/>
          <w:szCs w:val="22"/>
          <w:lang w:val="en-US" w:eastAsia="en-US"/>
        </w:rPr>
        <w:t xml:space="preserve"> </w:t>
      </w:r>
      <w:r w:rsidR="00194466" w:rsidRPr="00DD6227">
        <w:rPr>
          <w:rFonts w:asciiTheme="minorHAnsi" w:eastAsiaTheme="minorEastAsia" w:hAnsiTheme="minorHAnsi" w:cstheme="minorHAnsi"/>
          <w:sz w:val="22"/>
          <w:szCs w:val="22"/>
          <w:lang w:val="en-US" w:eastAsia="en-US"/>
        </w:rPr>
        <w:t>not a PBI.</w:t>
      </w:r>
      <w:r w:rsidR="00194466" w:rsidRPr="00DD6227">
        <w:rPr>
          <w:rStyle w:val="FootnoteReference"/>
          <w:rFonts w:asciiTheme="minorHAnsi" w:eastAsiaTheme="minorEastAsia" w:hAnsiTheme="minorHAnsi" w:cstheme="minorHAnsi"/>
          <w:sz w:val="22"/>
          <w:szCs w:val="22"/>
          <w:lang w:val="en-US" w:eastAsia="en-US"/>
        </w:rPr>
        <w:footnoteReference w:id="35"/>
      </w:r>
    </w:p>
    <w:p w14:paraId="09690AE5" w14:textId="66FB1EB7" w:rsidR="008F6E7B" w:rsidRPr="00DD6227" w:rsidRDefault="008F6E7B" w:rsidP="008F6E7B">
      <w:pPr>
        <w:pStyle w:val="ListParagraph"/>
        <w:spacing w:before="120" w:after="120" w:line="276" w:lineRule="auto"/>
        <w:ind w:left="930"/>
        <w:textAlignment w:val="baseline"/>
        <w:rPr>
          <w:rFonts w:asciiTheme="minorHAnsi" w:eastAsiaTheme="minorEastAsia" w:hAnsiTheme="minorHAnsi" w:cstheme="minorHAnsi"/>
          <w:sz w:val="22"/>
          <w:szCs w:val="22"/>
          <w:u w:val="single"/>
          <w:lang w:val="en-US" w:eastAsia="en-US"/>
        </w:rPr>
      </w:pPr>
      <w:r w:rsidRPr="00DD6227">
        <w:rPr>
          <w:rFonts w:asciiTheme="minorHAnsi" w:eastAsiaTheme="minorEastAsia" w:hAnsiTheme="minorHAnsi" w:cstheme="minorHAnsi"/>
          <w:sz w:val="22"/>
          <w:szCs w:val="22"/>
          <w:u w:val="single"/>
          <w:lang w:val="en-US" w:eastAsia="en-US"/>
        </w:rPr>
        <w:t xml:space="preserve">‘Main’ </w:t>
      </w:r>
      <w:r w:rsidR="00096B9D" w:rsidRPr="00DD6227">
        <w:rPr>
          <w:rFonts w:asciiTheme="minorHAnsi" w:eastAsiaTheme="minorEastAsia" w:hAnsiTheme="minorHAnsi" w:cstheme="minorHAnsi"/>
          <w:sz w:val="22"/>
          <w:szCs w:val="22"/>
          <w:u w:val="single"/>
          <w:lang w:val="en-US" w:eastAsia="en-US"/>
        </w:rPr>
        <w:t xml:space="preserve">benevolent relief </w:t>
      </w:r>
      <w:r w:rsidRPr="00DD6227">
        <w:rPr>
          <w:rFonts w:asciiTheme="minorHAnsi" w:eastAsiaTheme="minorEastAsia" w:hAnsiTheme="minorHAnsi" w:cstheme="minorHAnsi"/>
          <w:sz w:val="22"/>
          <w:szCs w:val="22"/>
          <w:u w:val="single"/>
          <w:lang w:val="en-US" w:eastAsia="en-US"/>
        </w:rPr>
        <w:t>purpose</w:t>
      </w:r>
    </w:p>
    <w:p w14:paraId="05EA9E92" w14:textId="4DF2DB1A" w:rsidR="003E50B1" w:rsidRPr="00DD6227" w:rsidRDefault="008F6E7B" w:rsidP="008F6E7B">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u w:val="single"/>
          <w:lang w:val="en-US" w:eastAsia="en-US"/>
        </w:rPr>
      </w:pPr>
      <w:r w:rsidRPr="00DD6227">
        <w:rPr>
          <w:rFonts w:asciiTheme="minorHAnsi" w:eastAsiaTheme="minorEastAsia" w:hAnsiTheme="minorHAnsi" w:cstheme="minorHAnsi"/>
          <w:sz w:val="22"/>
          <w:szCs w:val="22"/>
          <w:lang w:val="en-US" w:eastAsia="en-US"/>
        </w:rPr>
        <w:t>To be</w:t>
      </w:r>
      <w:r w:rsidR="00096B9D" w:rsidRPr="00DD6227">
        <w:rPr>
          <w:rFonts w:asciiTheme="minorHAnsi" w:eastAsiaTheme="minorEastAsia" w:hAnsiTheme="minorHAnsi" w:cstheme="minorHAnsi"/>
          <w:sz w:val="22"/>
          <w:szCs w:val="22"/>
          <w:lang w:val="en-US" w:eastAsia="en-US"/>
        </w:rPr>
        <w:t xml:space="preserve"> a PBI, a charity’s main purpose must be to provide benevolent relief</w:t>
      </w:r>
      <w:r w:rsidR="00A53F58" w:rsidRPr="00DD6227">
        <w:rPr>
          <w:rFonts w:asciiTheme="minorHAnsi" w:eastAsiaTheme="minorEastAsia" w:hAnsiTheme="minorHAnsi" w:cstheme="minorHAnsi"/>
          <w:sz w:val="22"/>
          <w:szCs w:val="22"/>
          <w:lang w:val="en-US" w:eastAsia="en-US"/>
        </w:rPr>
        <w:t>.</w:t>
      </w:r>
      <w:r w:rsidR="00577B02" w:rsidRPr="00DD6227">
        <w:rPr>
          <w:rFonts w:asciiTheme="minorHAnsi" w:eastAsiaTheme="minorEastAsia" w:hAnsiTheme="minorHAnsi" w:cstheme="minorHAnsi"/>
          <w:sz w:val="22"/>
          <w:szCs w:val="22"/>
          <w:lang w:val="en-US" w:eastAsia="en-US"/>
        </w:rPr>
        <w:t xml:space="preserve"> </w:t>
      </w:r>
      <w:r w:rsidR="00FB759E" w:rsidRPr="00DD6227">
        <w:rPr>
          <w:rFonts w:asciiTheme="minorHAnsi" w:eastAsiaTheme="minorEastAsia" w:hAnsiTheme="minorHAnsi" w:cstheme="minorHAnsi"/>
          <w:sz w:val="22"/>
          <w:szCs w:val="22"/>
          <w:lang w:val="en-US" w:eastAsia="en-US"/>
        </w:rPr>
        <w:t>In</w:t>
      </w:r>
      <w:r w:rsidR="00612ED8" w:rsidRPr="00DD6227">
        <w:rPr>
          <w:rFonts w:asciiTheme="minorHAnsi" w:eastAsiaTheme="minorEastAsia" w:hAnsiTheme="minorHAnsi" w:cstheme="minorHAnsi"/>
          <w:sz w:val="22"/>
          <w:szCs w:val="22"/>
          <w:lang w:val="en-US" w:eastAsia="en-US"/>
        </w:rPr>
        <w:t xml:space="preserve"> </w:t>
      </w:r>
      <w:r w:rsidR="00612ED8" w:rsidRPr="00DD6227">
        <w:rPr>
          <w:rFonts w:asciiTheme="minorHAnsi" w:eastAsiaTheme="minorEastAsia" w:hAnsiTheme="minorHAnsi" w:cstheme="minorHAnsi"/>
          <w:i/>
          <w:iCs/>
          <w:sz w:val="22"/>
          <w:szCs w:val="22"/>
          <w:lang w:val="en-US" w:eastAsia="en-US"/>
        </w:rPr>
        <w:t>Perpetual Trustee Co Ltd v Federal Commissioner of Taxation</w:t>
      </w:r>
      <w:r w:rsidR="00612ED8" w:rsidRPr="00DD6227">
        <w:rPr>
          <w:rFonts w:asciiTheme="minorHAnsi" w:eastAsiaTheme="minorEastAsia" w:hAnsiTheme="minorHAnsi" w:cstheme="minorHAnsi"/>
          <w:sz w:val="22"/>
          <w:szCs w:val="22"/>
          <w:lang w:val="en-US" w:eastAsia="en-US"/>
        </w:rPr>
        <w:t>,</w:t>
      </w:r>
      <w:r w:rsidR="00F60C6D">
        <w:rPr>
          <w:rStyle w:val="FootnoteReference"/>
          <w:rFonts w:asciiTheme="minorHAnsi" w:eastAsiaTheme="minorEastAsia" w:hAnsiTheme="minorHAnsi" w:cstheme="minorHAnsi"/>
          <w:sz w:val="22"/>
          <w:szCs w:val="22"/>
          <w:lang w:val="en-US" w:eastAsia="en-US"/>
        </w:rPr>
        <w:footnoteReference w:id="36"/>
      </w:r>
      <w:r w:rsidR="00612ED8" w:rsidRPr="00DD6227">
        <w:rPr>
          <w:rFonts w:asciiTheme="minorHAnsi" w:eastAsiaTheme="minorEastAsia" w:hAnsiTheme="minorHAnsi" w:cstheme="minorHAnsi"/>
          <w:sz w:val="22"/>
          <w:szCs w:val="22"/>
          <w:lang w:val="en-US" w:eastAsia="en-US"/>
        </w:rPr>
        <w:t xml:space="preserve"> </w:t>
      </w:r>
      <w:r w:rsidR="00AF6286" w:rsidRPr="00DD6227">
        <w:rPr>
          <w:rFonts w:asciiTheme="minorHAnsi" w:eastAsiaTheme="minorEastAsia" w:hAnsiTheme="minorHAnsi" w:cstheme="minorHAnsi"/>
          <w:sz w:val="22"/>
          <w:szCs w:val="22"/>
          <w:lang w:val="en-US" w:eastAsia="en-US"/>
        </w:rPr>
        <w:t>the members of the High</w:t>
      </w:r>
      <w:r w:rsidR="00446E26">
        <w:rPr>
          <w:rFonts w:asciiTheme="minorHAnsi" w:eastAsiaTheme="minorEastAsia" w:hAnsiTheme="minorHAnsi" w:cstheme="minorHAnsi"/>
          <w:sz w:val="22"/>
          <w:szCs w:val="22"/>
          <w:lang w:val="en-US" w:eastAsia="en-US"/>
        </w:rPr>
        <w:t xml:space="preserve"> Court</w:t>
      </w:r>
      <w:r w:rsidR="00AF6286" w:rsidRPr="00DD6227">
        <w:rPr>
          <w:rFonts w:asciiTheme="minorHAnsi" w:eastAsiaTheme="minorEastAsia" w:hAnsiTheme="minorHAnsi" w:cstheme="minorHAnsi"/>
          <w:sz w:val="22"/>
          <w:szCs w:val="22"/>
          <w:lang w:val="en-US" w:eastAsia="en-US"/>
        </w:rPr>
        <w:t xml:space="preserve"> </w:t>
      </w:r>
      <w:r w:rsidR="001C013D" w:rsidRPr="00DD6227">
        <w:rPr>
          <w:rFonts w:asciiTheme="minorHAnsi" w:eastAsiaTheme="minorEastAsia" w:hAnsiTheme="minorHAnsi" w:cstheme="minorHAnsi"/>
          <w:sz w:val="22"/>
          <w:szCs w:val="22"/>
          <w:lang w:val="en-US" w:eastAsia="en-US"/>
        </w:rPr>
        <w:t>stated t</w:t>
      </w:r>
      <w:r w:rsidR="005B2D62" w:rsidRPr="00DD6227">
        <w:rPr>
          <w:rFonts w:asciiTheme="minorHAnsi" w:eastAsiaTheme="minorEastAsia" w:hAnsiTheme="minorHAnsi" w:cstheme="minorHAnsi"/>
          <w:sz w:val="22"/>
          <w:szCs w:val="22"/>
          <w:lang w:val="en-US" w:eastAsia="en-US"/>
        </w:rPr>
        <w:t>hat a PBI is an organisation that is ‘</w:t>
      </w:r>
      <w:proofErr w:type="spellStart"/>
      <w:r w:rsidR="005B2D62" w:rsidRPr="00DD6227">
        <w:rPr>
          <w:rFonts w:asciiTheme="minorHAnsi" w:eastAsiaTheme="minorEastAsia" w:hAnsiTheme="minorHAnsi" w:cstheme="minorHAnsi"/>
          <w:sz w:val="22"/>
          <w:szCs w:val="22"/>
          <w:lang w:val="en-US" w:eastAsia="en-US"/>
        </w:rPr>
        <w:t>organised</w:t>
      </w:r>
      <w:proofErr w:type="spellEnd"/>
      <w:r w:rsidR="005B2D62" w:rsidRPr="00DD6227">
        <w:rPr>
          <w:rFonts w:asciiTheme="minorHAnsi" w:eastAsiaTheme="minorEastAsia" w:hAnsiTheme="minorHAnsi" w:cstheme="minorHAnsi"/>
          <w:sz w:val="22"/>
          <w:szCs w:val="22"/>
          <w:lang w:val="en-US" w:eastAsia="en-US"/>
        </w:rPr>
        <w:t xml:space="preserve">’ for the relief of poverty, sickness, </w:t>
      </w:r>
      <w:proofErr w:type="gramStart"/>
      <w:r w:rsidR="005B2D62" w:rsidRPr="00DD6227">
        <w:rPr>
          <w:rFonts w:asciiTheme="minorHAnsi" w:eastAsiaTheme="minorEastAsia" w:hAnsiTheme="minorHAnsi" w:cstheme="minorHAnsi"/>
          <w:sz w:val="22"/>
          <w:szCs w:val="22"/>
          <w:lang w:val="en-US" w:eastAsia="en-US"/>
        </w:rPr>
        <w:t>destitution</w:t>
      </w:r>
      <w:proofErr w:type="gramEnd"/>
      <w:r w:rsidR="005B2D62" w:rsidRPr="00DD6227">
        <w:rPr>
          <w:rFonts w:asciiTheme="minorHAnsi" w:eastAsiaTheme="minorEastAsia" w:hAnsiTheme="minorHAnsi" w:cstheme="minorHAnsi"/>
          <w:sz w:val="22"/>
          <w:szCs w:val="22"/>
          <w:lang w:val="en-US" w:eastAsia="en-US"/>
        </w:rPr>
        <w:t xml:space="preserve"> or helplessness</w:t>
      </w:r>
      <w:r w:rsidR="008D0F59" w:rsidRPr="00DD6227">
        <w:rPr>
          <w:rStyle w:val="FootnoteReference"/>
          <w:rFonts w:asciiTheme="minorHAnsi" w:eastAsiaTheme="minorEastAsia" w:hAnsiTheme="minorHAnsi" w:cstheme="minorHAnsi"/>
          <w:sz w:val="22"/>
          <w:szCs w:val="22"/>
          <w:lang w:val="en-US" w:eastAsia="en-US"/>
        </w:rPr>
        <w:footnoteReference w:id="37"/>
      </w:r>
      <w:r w:rsidR="005B2D62" w:rsidRPr="00DD6227">
        <w:rPr>
          <w:rFonts w:asciiTheme="minorHAnsi" w:eastAsiaTheme="minorEastAsia" w:hAnsiTheme="minorHAnsi" w:cstheme="minorHAnsi"/>
          <w:sz w:val="22"/>
          <w:szCs w:val="22"/>
          <w:lang w:val="en-US" w:eastAsia="en-US"/>
        </w:rPr>
        <w:t xml:space="preserve">  or ‘promoted’</w:t>
      </w:r>
      <w:r w:rsidR="001C013D" w:rsidRPr="00DD6227">
        <w:rPr>
          <w:rFonts w:asciiTheme="minorHAnsi" w:eastAsiaTheme="minorEastAsia" w:hAnsiTheme="minorHAnsi" w:cstheme="minorHAnsi"/>
          <w:sz w:val="22"/>
          <w:szCs w:val="22"/>
          <w:lang w:val="en-US" w:eastAsia="en-US"/>
        </w:rPr>
        <w:t xml:space="preserve"> </w:t>
      </w:r>
      <w:r w:rsidR="005B2D62" w:rsidRPr="00DD6227">
        <w:rPr>
          <w:rFonts w:asciiTheme="minorHAnsi" w:eastAsiaTheme="minorEastAsia" w:hAnsiTheme="minorHAnsi" w:cstheme="minorHAnsi"/>
          <w:sz w:val="22"/>
          <w:szCs w:val="22"/>
          <w:lang w:val="en-US" w:eastAsia="en-US"/>
        </w:rPr>
        <w:t>or ‘conducted for’</w:t>
      </w:r>
      <w:r w:rsidR="008D0F59" w:rsidRPr="00DD6227">
        <w:rPr>
          <w:rStyle w:val="FootnoteReference"/>
          <w:rFonts w:asciiTheme="minorHAnsi" w:eastAsiaTheme="minorEastAsia" w:hAnsiTheme="minorHAnsi" w:cstheme="minorHAnsi"/>
          <w:sz w:val="22"/>
          <w:szCs w:val="22"/>
          <w:lang w:val="en-US" w:eastAsia="en-US"/>
        </w:rPr>
        <w:footnoteReference w:id="38"/>
      </w:r>
      <w:r w:rsidR="005B2D62" w:rsidRPr="00DD6227">
        <w:rPr>
          <w:rFonts w:asciiTheme="minorHAnsi" w:eastAsiaTheme="minorEastAsia" w:hAnsiTheme="minorHAnsi" w:cstheme="minorHAnsi"/>
          <w:sz w:val="22"/>
          <w:szCs w:val="22"/>
          <w:lang w:val="en-US" w:eastAsia="en-US"/>
        </w:rPr>
        <w:t xml:space="preserve"> the relief of poverty, distress, suffering or </w:t>
      </w:r>
      <w:r w:rsidR="005B2D62" w:rsidRPr="00DD6227">
        <w:rPr>
          <w:rFonts w:asciiTheme="minorHAnsi" w:eastAsiaTheme="minorEastAsia" w:hAnsiTheme="minorHAnsi" w:cstheme="minorHAnsi"/>
          <w:sz w:val="22"/>
          <w:szCs w:val="22"/>
          <w:lang w:val="en-US" w:eastAsia="en-US"/>
        </w:rPr>
        <w:lastRenderedPageBreak/>
        <w:t>misfortune</w:t>
      </w:r>
      <w:r w:rsidR="005A20AE" w:rsidRPr="00DD6227">
        <w:rPr>
          <w:rFonts w:asciiTheme="minorHAnsi" w:eastAsiaTheme="minorEastAsia" w:hAnsiTheme="minorHAnsi" w:cstheme="minorHAnsi"/>
          <w:sz w:val="22"/>
          <w:szCs w:val="22"/>
          <w:lang w:val="en-US" w:eastAsia="en-US"/>
        </w:rPr>
        <w:t>.</w:t>
      </w:r>
      <w:r w:rsidR="00DA3349">
        <w:rPr>
          <w:rFonts w:asciiTheme="minorHAnsi" w:eastAsiaTheme="minorEastAsia" w:hAnsiTheme="minorHAnsi" w:cstheme="minorHAnsi"/>
          <w:sz w:val="22"/>
          <w:szCs w:val="22"/>
          <w:lang w:val="en-US" w:eastAsia="en-US"/>
        </w:rPr>
        <w:t xml:space="preserve"> Essentially, these phrases </w:t>
      </w:r>
      <w:r w:rsidR="00DF6FE9">
        <w:rPr>
          <w:rFonts w:asciiTheme="minorHAnsi" w:eastAsiaTheme="minorEastAsia" w:hAnsiTheme="minorHAnsi" w:cstheme="minorHAnsi"/>
          <w:sz w:val="22"/>
          <w:szCs w:val="22"/>
          <w:lang w:val="en-US" w:eastAsia="en-US"/>
        </w:rPr>
        <w:t>suggest the</w:t>
      </w:r>
      <w:r w:rsidR="008B5C2E">
        <w:rPr>
          <w:rFonts w:asciiTheme="minorHAnsi" w:eastAsiaTheme="minorEastAsia" w:hAnsiTheme="minorHAnsi" w:cstheme="minorHAnsi"/>
          <w:sz w:val="22"/>
          <w:szCs w:val="22"/>
          <w:lang w:val="en-US" w:eastAsia="en-US"/>
        </w:rPr>
        <w:t xml:space="preserve"> focus should be on the</w:t>
      </w:r>
      <w:r w:rsidR="00DF6FE9">
        <w:rPr>
          <w:rFonts w:asciiTheme="minorHAnsi" w:eastAsiaTheme="minorEastAsia" w:hAnsiTheme="minorHAnsi" w:cstheme="minorHAnsi"/>
          <w:sz w:val="22"/>
          <w:szCs w:val="22"/>
          <w:lang w:val="en-US" w:eastAsia="en-US"/>
        </w:rPr>
        <w:t xml:space="preserve"> main purpose for which the </w:t>
      </w:r>
      <w:r w:rsidR="00EE78E8">
        <w:rPr>
          <w:rFonts w:asciiTheme="minorHAnsi" w:eastAsiaTheme="minorEastAsia" w:hAnsiTheme="minorHAnsi" w:cstheme="minorHAnsi"/>
          <w:sz w:val="22"/>
          <w:szCs w:val="22"/>
          <w:lang w:val="en-US" w:eastAsia="en-US"/>
        </w:rPr>
        <w:t>charity</w:t>
      </w:r>
      <w:r w:rsidR="00DF6FE9">
        <w:rPr>
          <w:rFonts w:asciiTheme="minorHAnsi" w:eastAsiaTheme="minorEastAsia" w:hAnsiTheme="minorHAnsi" w:cstheme="minorHAnsi"/>
          <w:sz w:val="22"/>
          <w:szCs w:val="22"/>
          <w:lang w:val="en-US" w:eastAsia="en-US"/>
        </w:rPr>
        <w:t xml:space="preserve"> exists.</w:t>
      </w:r>
      <w:r w:rsidR="005A20AE" w:rsidRPr="00DD6227">
        <w:rPr>
          <w:rFonts w:asciiTheme="minorHAnsi" w:eastAsiaTheme="minorEastAsia" w:hAnsiTheme="minorHAnsi" w:cstheme="minorHAnsi"/>
          <w:sz w:val="22"/>
          <w:szCs w:val="22"/>
          <w:lang w:val="en-US" w:eastAsia="en-US"/>
        </w:rPr>
        <w:t xml:space="preserve"> </w:t>
      </w:r>
      <w:r w:rsidR="00577B02" w:rsidRPr="00DD6227">
        <w:rPr>
          <w:rFonts w:asciiTheme="minorHAnsi" w:eastAsiaTheme="minorEastAsia" w:hAnsiTheme="minorHAnsi" w:cstheme="minorHAnsi"/>
          <w:sz w:val="22"/>
          <w:szCs w:val="22"/>
          <w:lang w:val="en-US" w:eastAsia="en-US"/>
        </w:rPr>
        <w:t xml:space="preserve">In </w:t>
      </w:r>
      <w:r w:rsidR="003D1945" w:rsidRPr="00DD6227">
        <w:rPr>
          <w:rFonts w:asciiTheme="minorHAnsi" w:eastAsiaTheme="minorEastAsia" w:hAnsiTheme="minorHAnsi" w:cstheme="minorHAnsi"/>
          <w:sz w:val="22"/>
          <w:szCs w:val="22"/>
          <w:lang w:val="en-US" w:eastAsia="en-US"/>
        </w:rPr>
        <w:t xml:space="preserve">subsequent </w:t>
      </w:r>
      <w:r w:rsidR="00577B02" w:rsidRPr="00DD6227">
        <w:rPr>
          <w:rFonts w:asciiTheme="minorHAnsi" w:eastAsiaTheme="minorEastAsia" w:hAnsiTheme="minorHAnsi" w:cstheme="minorHAnsi"/>
          <w:sz w:val="22"/>
          <w:szCs w:val="22"/>
          <w:lang w:val="en-US" w:eastAsia="en-US"/>
        </w:rPr>
        <w:t>relevant court and tribunal decisions,</w:t>
      </w:r>
      <w:r w:rsidR="001571B0">
        <w:rPr>
          <w:rFonts w:asciiTheme="minorHAnsi" w:eastAsiaTheme="minorEastAsia" w:hAnsiTheme="minorHAnsi" w:cstheme="minorHAnsi"/>
          <w:sz w:val="22"/>
          <w:szCs w:val="22"/>
          <w:lang w:val="en-US" w:eastAsia="en-US"/>
        </w:rPr>
        <w:t xml:space="preserve"> when referring to the </w:t>
      </w:r>
      <w:r w:rsidR="00691E22">
        <w:rPr>
          <w:rFonts w:asciiTheme="minorHAnsi" w:eastAsiaTheme="minorEastAsia" w:hAnsiTheme="minorHAnsi" w:cstheme="minorHAnsi"/>
          <w:sz w:val="22"/>
          <w:szCs w:val="22"/>
          <w:lang w:val="en-US" w:eastAsia="en-US"/>
        </w:rPr>
        <w:t xml:space="preserve">purpose of a charity or PBI, </w:t>
      </w:r>
      <w:r w:rsidR="00577B02" w:rsidRPr="00DD6227">
        <w:rPr>
          <w:rFonts w:asciiTheme="minorHAnsi" w:eastAsiaTheme="minorEastAsia" w:hAnsiTheme="minorHAnsi" w:cstheme="minorHAnsi"/>
          <w:sz w:val="22"/>
          <w:szCs w:val="22"/>
          <w:lang w:val="en-US" w:eastAsia="en-US"/>
        </w:rPr>
        <w:t>‘main’</w:t>
      </w:r>
      <w:r w:rsidR="00107576" w:rsidRPr="00DD6227">
        <w:rPr>
          <w:rStyle w:val="FootnoteReference"/>
          <w:rFonts w:asciiTheme="minorHAnsi" w:eastAsiaTheme="minorEastAsia" w:hAnsiTheme="minorHAnsi" w:cstheme="minorHAnsi"/>
          <w:sz w:val="22"/>
          <w:szCs w:val="22"/>
          <w:lang w:val="en-US" w:eastAsia="en-US"/>
        </w:rPr>
        <w:footnoteReference w:id="39"/>
      </w:r>
      <w:r w:rsidR="00577B02" w:rsidRPr="00DD6227">
        <w:rPr>
          <w:rFonts w:asciiTheme="minorHAnsi" w:eastAsiaTheme="minorEastAsia" w:hAnsiTheme="minorHAnsi" w:cstheme="minorHAnsi"/>
          <w:sz w:val="22"/>
          <w:szCs w:val="22"/>
          <w:lang w:val="en-US" w:eastAsia="en-US"/>
        </w:rPr>
        <w:t xml:space="preserve"> is used interchangeably with </w:t>
      </w:r>
      <w:r w:rsidR="003E50B1" w:rsidRPr="00DD6227">
        <w:rPr>
          <w:rFonts w:asciiTheme="minorHAnsi" w:eastAsiaTheme="minorEastAsia" w:hAnsiTheme="minorHAnsi" w:cstheme="minorHAnsi"/>
          <w:sz w:val="22"/>
          <w:szCs w:val="22"/>
          <w:lang w:val="en-US" w:eastAsia="en-US"/>
        </w:rPr>
        <w:t>‘dominant’</w:t>
      </w:r>
      <w:r w:rsidR="002A7DA1" w:rsidRPr="00DD6227">
        <w:rPr>
          <w:rStyle w:val="FootnoteReference"/>
          <w:rFonts w:asciiTheme="minorHAnsi" w:eastAsiaTheme="minorEastAsia" w:hAnsiTheme="minorHAnsi" w:cstheme="minorHAnsi"/>
          <w:sz w:val="22"/>
          <w:szCs w:val="22"/>
          <w:lang w:val="en-US" w:eastAsia="en-US"/>
        </w:rPr>
        <w:footnoteReference w:id="40"/>
      </w:r>
      <w:r w:rsidR="009B5FA6" w:rsidRPr="00DD6227">
        <w:rPr>
          <w:rFonts w:asciiTheme="minorHAnsi" w:eastAsiaTheme="minorEastAsia" w:hAnsiTheme="minorHAnsi" w:cstheme="minorHAnsi"/>
          <w:sz w:val="22"/>
          <w:szCs w:val="22"/>
          <w:lang w:val="en-US" w:eastAsia="en-US"/>
        </w:rPr>
        <w:t>, ‘essential’</w:t>
      </w:r>
      <w:r w:rsidR="009B5FA6" w:rsidRPr="00DD6227">
        <w:rPr>
          <w:rStyle w:val="FootnoteReference"/>
          <w:rFonts w:asciiTheme="minorHAnsi" w:eastAsiaTheme="minorEastAsia" w:hAnsiTheme="minorHAnsi" w:cstheme="minorHAnsi"/>
          <w:sz w:val="22"/>
          <w:szCs w:val="22"/>
          <w:lang w:val="en-US" w:eastAsia="en-US"/>
        </w:rPr>
        <w:footnoteReference w:id="41"/>
      </w:r>
      <w:r w:rsidR="003E50B1" w:rsidRPr="00DD6227">
        <w:rPr>
          <w:rFonts w:asciiTheme="minorHAnsi" w:eastAsiaTheme="minorEastAsia" w:hAnsiTheme="minorHAnsi" w:cstheme="minorHAnsi"/>
          <w:sz w:val="22"/>
          <w:szCs w:val="22"/>
          <w:lang w:val="en-US" w:eastAsia="en-US"/>
        </w:rPr>
        <w:t xml:space="preserve"> or ‘predominant’</w:t>
      </w:r>
      <w:r w:rsidR="00395E20" w:rsidRPr="00DD6227">
        <w:rPr>
          <w:rStyle w:val="FootnoteReference"/>
          <w:rFonts w:asciiTheme="minorHAnsi" w:eastAsiaTheme="minorEastAsia" w:hAnsiTheme="minorHAnsi" w:cstheme="minorHAnsi"/>
          <w:sz w:val="22"/>
          <w:szCs w:val="22"/>
          <w:lang w:val="en-US" w:eastAsia="en-US"/>
        </w:rPr>
        <w:footnoteReference w:id="42"/>
      </w:r>
      <w:r w:rsidR="00C61C9B" w:rsidRPr="00DD6227">
        <w:rPr>
          <w:rFonts w:asciiTheme="minorHAnsi" w:eastAsiaTheme="minorEastAsia" w:hAnsiTheme="minorHAnsi" w:cstheme="minorHAnsi"/>
          <w:sz w:val="22"/>
          <w:szCs w:val="22"/>
          <w:lang w:val="en-US" w:eastAsia="en-US"/>
        </w:rPr>
        <w:t>.</w:t>
      </w:r>
      <w:r w:rsidR="002965F3" w:rsidRPr="00DD6227">
        <w:rPr>
          <w:rFonts w:asciiTheme="minorHAnsi" w:eastAsiaTheme="minorEastAsia" w:hAnsiTheme="minorHAnsi" w:cstheme="minorHAnsi"/>
          <w:sz w:val="22"/>
          <w:szCs w:val="22"/>
          <w:lang w:val="en-US" w:eastAsia="en-US"/>
        </w:rPr>
        <w:t xml:space="preserve"> </w:t>
      </w:r>
      <w:r w:rsidR="00C735A2" w:rsidRPr="00DD6227">
        <w:rPr>
          <w:rFonts w:asciiTheme="minorHAnsi" w:eastAsiaTheme="minorEastAsia" w:hAnsiTheme="minorHAnsi" w:cstheme="minorHAnsi"/>
          <w:sz w:val="22"/>
          <w:szCs w:val="22"/>
          <w:lang w:val="en-US" w:eastAsia="en-US"/>
        </w:rPr>
        <w:t xml:space="preserve">In this document, </w:t>
      </w:r>
      <w:r w:rsidR="00691E22">
        <w:rPr>
          <w:rFonts w:asciiTheme="minorHAnsi" w:eastAsiaTheme="minorEastAsia" w:hAnsiTheme="minorHAnsi" w:cstheme="minorHAnsi"/>
          <w:sz w:val="22"/>
          <w:szCs w:val="22"/>
          <w:lang w:val="en-US" w:eastAsia="en-US"/>
        </w:rPr>
        <w:t xml:space="preserve">we use </w:t>
      </w:r>
      <w:r w:rsidR="00C735A2" w:rsidRPr="00DD6227">
        <w:rPr>
          <w:rFonts w:asciiTheme="minorHAnsi" w:eastAsiaTheme="minorEastAsia" w:hAnsiTheme="minorHAnsi" w:cstheme="minorHAnsi"/>
          <w:sz w:val="22"/>
          <w:szCs w:val="22"/>
          <w:lang w:val="en-US" w:eastAsia="en-US"/>
        </w:rPr>
        <w:t>‘main purpose’ for consistency.</w:t>
      </w:r>
    </w:p>
    <w:p w14:paraId="41D6365E" w14:textId="64FDC3BD" w:rsidR="00456429" w:rsidRPr="0097287F" w:rsidRDefault="00CD57E8" w:rsidP="008F6E7B">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u w:val="single"/>
          <w:lang w:val="en-US" w:eastAsia="en-US"/>
        </w:rPr>
      </w:pPr>
      <w:r w:rsidRPr="00DD6227">
        <w:rPr>
          <w:rFonts w:asciiTheme="minorHAnsi" w:eastAsiaTheme="minorEastAsia" w:hAnsiTheme="minorHAnsi" w:cstheme="minorHAnsi"/>
          <w:sz w:val="22"/>
          <w:szCs w:val="22"/>
          <w:lang w:val="en-US" w:eastAsia="en-US"/>
        </w:rPr>
        <w:t>For a charity’s main purpose to be provid</w:t>
      </w:r>
      <w:r w:rsidR="001A057B">
        <w:rPr>
          <w:rFonts w:asciiTheme="minorHAnsi" w:eastAsiaTheme="minorEastAsia" w:hAnsiTheme="minorHAnsi" w:cstheme="minorHAnsi"/>
          <w:sz w:val="22"/>
          <w:szCs w:val="22"/>
          <w:lang w:val="en-US" w:eastAsia="en-US"/>
        </w:rPr>
        <w:t>ing</w:t>
      </w:r>
      <w:r w:rsidRPr="00DD6227">
        <w:rPr>
          <w:rFonts w:asciiTheme="minorHAnsi" w:eastAsiaTheme="minorEastAsia" w:hAnsiTheme="minorHAnsi" w:cstheme="minorHAnsi"/>
          <w:sz w:val="22"/>
          <w:szCs w:val="22"/>
          <w:lang w:val="en-US" w:eastAsia="en-US"/>
        </w:rPr>
        <w:t xml:space="preserve"> benevolent relief, any other purpose must be ancillary or incidental to its </w:t>
      </w:r>
      <w:r w:rsidR="001A057B">
        <w:rPr>
          <w:rFonts w:asciiTheme="minorHAnsi" w:eastAsiaTheme="minorEastAsia" w:hAnsiTheme="minorHAnsi" w:cstheme="minorHAnsi"/>
          <w:sz w:val="22"/>
          <w:szCs w:val="22"/>
          <w:lang w:val="en-US" w:eastAsia="en-US"/>
        </w:rPr>
        <w:t>pur</w:t>
      </w:r>
      <w:r w:rsidR="0015671F">
        <w:rPr>
          <w:rFonts w:asciiTheme="minorHAnsi" w:eastAsiaTheme="minorEastAsia" w:hAnsiTheme="minorHAnsi" w:cstheme="minorHAnsi"/>
          <w:sz w:val="22"/>
          <w:szCs w:val="22"/>
          <w:lang w:val="en-US" w:eastAsia="en-US"/>
        </w:rPr>
        <w:t xml:space="preserve">pose of </w:t>
      </w:r>
      <w:r w:rsidRPr="00DD6227">
        <w:rPr>
          <w:rFonts w:asciiTheme="minorHAnsi" w:eastAsiaTheme="minorEastAsia" w:hAnsiTheme="minorHAnsi" w:cstheme="minorHAnsi"/>
          <w:sz w:val="22"/>
          <w:szCs w:val="22"/>
          <w:lang w:val="en-US" w:eastAsia="en-US"/>
        </w:rPr>
        <w:t>benevolent relief.</w:t>
      </w:r>
      <w:r w:rsidR="003E2131" w:rsidRPr="00DD6227">
        <w:rPr>
          <w:rStyle w:val="FootnoteReference"/>
          <w:rFonts w:asciiTheme="minorHAnsi" w:eastAsiaTheme="minorEastAsia" w:hAnsiTheme="minorHAnsi" w:cstheme="minorHAnsi"/>
          <w:sz w:val="22"/>
          <w:szCs w:val="22"/>
          <w:lang w:val="en-US" w:eastAsia="en-US"/>
        </w:rPr>
        <w:footnoteReference w:id="43"/>
      </w:r>
      <w:r w:rsidR="00FE31BA" w:rsidRPr="00DD6227">
        <w:rPr>
          <w:rFonts w:asciiTheme="minorHAnsi" w:eastAsiaTheme="minorEastAsia" w:hAnsiTheme="minorHAnsi" w:cstheme="minorHAnsi"/>
          <w:sz w:val="22"/>
          <w:szCs w:val="22"/>
          <w:lang w:val="en-US" w:eastAsia="en-US"/>
        </w:rPr>
        <w:t xml:space="preserve"> A purpose </w:t>
      </w:r>
      <w:r w:rsidR="0015671F">
        <w:rPr>
          <w:rFonts w:asciiTheme="minorHAnsi" w:eastAsiaTheme="minorEastAsia" w:hAnsiTheme="minorHAnsi" w:cstheme="minorHAnsi"/>
          <w:sz w:val="22"/>
          <w:szCs w:val="22"/>
          <w:lang w:val="en-US" w:eastAsia="en-US"/>
        </w:rPr>
        <w:t>is</w:t>
      </w:r>
      <w:r w:rsidR="00FE31BA" w:rsidRPr="00DD6227">
        <w:rPr>
          <w:rFonts w:asciiTheme="minorHAnsi" w:eastAsiaTheme="minorEastAsia" w:hAnsiTheme="minorHAnsi" w:cstheme="minorHAnsi"/>
          <w:sz w:val="22"/>
          <w:szCs w:val="22"/>
          <w:lang w:val="en-US" w:eastAsia="en-US"/>
        </w:rPr>
        <w:t xml:space="preserve"> ancillary or incidental if it is </w:t>
      </w:r>
      <w:r w:rsidR="0017156B" w:rsidRPr="00DD6227">
        <w:rPr>
          <w:rFonts w:asciiTheme="minorHAnsi" w:eastAsiaTheme="minorEastAsia" w:hAnsiTheme="minorHAnsi" w:cstheme="minorHAnsi"/>
          <w:sz w:val="22"/>
          <w:szCs w:val="22"/>
          <w:lang w:val="en-US" w:eastAsia="en-US"/>
        </w:rPr>
        <w:t xml:space="preserve">not of </w:t>
      </w:r>
      <w:proofErr w:type="gramStart"/>
      <w:r w:rsidR="0017156B" w:rsidRPr="00DD6227">
        <w:rPr>
          <w:rFonts w:asciiTheme="minorHAnsi" w:eastAsiaTheme="minorEastAsia" w:hAnsiTheme="minorHAnsi" w:cstheme="minorHAnsi"/>
          <w:sz w:val="22"/>
          <w:szCs w:val="22"/>
          <w:lang w:val="en-US" w:eastAsia="en-US"/>
        </w:rPr>
        <w:t>substance in its own right, but</w:t>
      </w:r>
      <w:proofErr w:type="gramEnd"/>
      <w:r w:rsidR="00DB4365">
        <w:rPr>
          <w:rFonts w:asciiTheme="minorHAnsi" w:eastAsiaTheme="minorEastAsia" w:hAnsiTheme="minorHAnsi" w:cstheme="minorHAnsi"/>
          <w:sz w:val="22"/>
          <w:szCs w:val="22"/>
          <w:lang w:val="en-US" w:eastAsia="en-US"/>
        </w:rPr>
        <w:t xml:space="preserve"> is something that</w:t>
      </w:r>
      <w:r w:rsidR="00244B54" w:rsidRPr="00DD6227">
        <w:rPr>
          <w:rFonts w:asciiTheme="minorHAnsi" w:eastAsiaTheme="minorEastAsia" w:hAnsiTheme="minorHAnsi" w:cstheme="minorHAnsi"/>
          <w:sz w:val="22"/>
          <w:szCs w:val="22"/>
          <w:lang w:val="en-US" w:eastAsia="en-US"/>
        </w:rPr>
        <w:t xml:space="preserve"> ‘tends to assist, or naturally goes with,</w:t>
      </w:r>
      <w:r w:rsidR="00120A8A" w:rsidRPr="00DD6227">
        <w:rPr>
          <w:rFonts w:asciiTheme="minorHAnsi" w:eastAsiaTheme="minorEastAsia" w:hAnsiTheme="minorHAnsi" w:cstheme="minorHAnsi"/>
          <w:sz w:val="22"/>
          <w:szCs w:val="22"/>
          <w:lang w:val="en-US" w:eastAsia="en-US"/>
        </w:rPr>
        <w:t>’ the achievement of the main</w:t>
      </w:r>
      <w:r w:rsidR="0015671F">
        <w:rPr>
          <w:rFonts w:asciiTheme="minorHAnsi" w:eastAsiaTheme="minorEastAsia" w:hAnsiTheme="minorHAnsi" w:cstheme="minorHAnsi"/>
          <w:sz w:val="22"/>
          <w:szCs w:val="22"/>
          <w:lang w:val="en-US" w:eastAsia="en-US"/>
        </w:rPr>
        <w:t xml:space="preserve"> purpose of</w:t>
      </w:r>
      <w:r w:rsidR="00B8587A">
        <w:rPr>
          <w:rFonts w:asciiTheme="minorHAnsi" w:eastAsiaTheme="minorEastAsia" w:hAnsiTheme="minorHAnsi" w:cstheme="minorHAnsi"/>
          <w:sz w:val="22"/>
          <w:szCs w:val="22"/>
          <w:lang w:val="en-US" w:eastAsia="en-US"/>
        </w:rPr>
        <w:t xml:space="preserve"> benevolent relief</w:t>
      </w:r>
      <w:r w:rsidR="00120A8A" w:rsidRPr="00DD6227">
        <w:rPr>
          <w:rFonts w:asciiTheme="minorHAnsi" w:eastAsiaTheme="minorEastAsia" w:hAnsiTheme="minorHAnsi" w:cstheme="minorHAnsi"/>
          <w:sz w:val="22"/>
          <w:szCs w:val="22"/>
          <w:lang w:val="en-US" w:eastAsia="en-US"/>
        </w:rPr>
        <w:t>.</w:t>
      </w:r>
      <w:r w:rsidR="00120A8A" w:rsidRPr="00DD6227">
        <w:rPr>
          <w:rStyle w:val="FootnoteReference"/>
          <w:rFonts w:asciiTheme="minorHAnsi" w:eastAsiaTheme="minorEastAsia" w:hAnsiTheme="minorHAnsi" w:cstheme="minorHAnsi"/>
          <w:sz w:val="22"/>
          <w:szCs w:val="22"/>
          <w:lang w:val="en-US" w:eastAsia="en-US"/>
        </w:rPr>
        <w:footnoteReference w:id="44"/>
      </w:r>
      <w:r w:rsidR="005A5378">
        <w:rPr>
          <w:rFonts w:asciiTheme="minorHAnsi" w:eastAsiaTheme="minorEastAsia" w:hAnsiTheme="minorHAnsi" w:cstheme="minorHAnsi"/>
          <w:sz w:val="22"/>
          <w:szCs w:val="22"/>
          <w:lang w:val="en-US" w:eastAsia="en-US"/>
        </w:rPr>
        <w:t xml:space="preserve"> </w:t>
      </w:r>
      <w:r w:rsidR="00EE632E" w:rsidRPr="00DD6227">
        <w:rPr>
          <w:rFonts w:asciiTheme="minorHAnsi" w:eastAsiaTheme="minorEastAsia" w:hAnsiTheme="minorHAnsi" w:cstheme="minorHAnsi"/>
          <w:sz w:val="22"/>
          <w:szCs w:val="22"/>
          <w:lang w:val="en-US" w:eastAsia="en-US"/>
        </w:rPr>
        <w:t xml:space="preserve"> </w:t>
      </w:r>
    </w:p>
    <w:p w14:paraId="59649919" w14:textId="30EBD199" w:rsidR="008F6E7B" w:rsidRPr="00382435" w:rsidRDefault="009A21F1" w:rsidP="008F6E7B">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u w:val="single"/>
          <w:lang w:val="en-US" w:eastAsia="en-US"/>
        </w:rPr>
      </w:pPr>
      <w:r>
        <w:rPr>
          <w:rFonts w:asciiTheme="minorHAnsi" w:eastAsiaTheme="minorEastAsia" w:hAnsiTheme="minorHAnsi" w:cstheme="minorHAnsi"/>
          <w:sz w:val="22"/>
          <w:szCs w:val="22"/>
          <w:lang w:val="en-US" w:eastAsia="en-US"/>
        </w:rPr>
        <w:t xml:space="preserve">If a charity has a purpose other than providing benevolent relief, and that purpose is of </w:t>
      </w:r>
      <w:proofErr w:type="gramStart"/>
      <w:r>
        <w:rPr>
          <w:rFonts w:asciiTheme="minorHAnsi" w:eastAsiaTheme="minorEastAsia" w:hAnsiTheme="minorHAnsi" w:cstheme="minorHAnsi"/>
          <w:sz w:val="22"/>
          <w:szCs w:val="22"/>
          <w:lang w:val="en-US" w:eastAsia="en-US"/>
        </w:rPr>
        <w:t>substance in its own right, it</w:t>
      </w:r>
      <w:proofErr w:type="gramEnd"/>
      <w:r>
        <w:rPr>
          <w:rFonts w:asciiTheme="minorHAnsi" w:eastAsiaTheme="minorEastAsia" w:hAnsiTheme="minorHAnsi" w:cstheme="minorHAnsi"/>
          <w:sz w:val="22"/>
          <w:szCs w:val="22"/>
          <w:lang w:val="en-US" w:eastAsia="en-US"/>
        </w:rPr>
        <w:t xml:space="preserve"> </w:t>
      </w:r>
      <w:r w:rsidR="0098696E">
        <w:rPr>
          <w:rFonts w:asciiTheme="minorHAnsi" w:eastAsiaTheme="minorEastAsia" w:hAnsiTheme="minorHAnsi" w:cstheme="minorHAnsi"/>
          <w:sz w:val="22"/>
          <w:szCs w:val="22"/>
          <w:lang w:val="en-US" w:eastAsia="en-US"/>
        </w:rPr>
        <w:t xml:space="preserve">is </w:t>
      </w:r>
      <w:r>
        <w:rPr>
          <w:rFonts w:asciiTheme="minorHAnsi" w:eastAsiaTheme="minorEastAsia" w:hAnsiTheme="minorHAnsi" w:cstheme="minorHAnsi"/>
          <w:sz w:val="22"/>
          <w:szCs w:val="22"/>
          <w:lang w:val="en-US" w:eastAsia="en-US"/>
        </w:rPr>
        <w:t>regarded as an independent purpose</w:t>
      </w:r>
      <w:r w:rsidR="00116327">
        <w:rPr>
          <w:rFonts w:asciiTheme="minorHAnsi" w:eastAsiaTheme="minorEastAsia" w:hAnsiTheme="minorHAnsi" w:cstheme="minorHAnsi"/>
          <w:sz w:val="22"/>
          <w:szCs w:val="22"/>
          <w:lang w:val="en-US" w:eastAsia="en-US"/>
        </w:rPr>
        <w:t>, not an ancillary or incidental purpose</w:t>
      </w:r>
      <w:r>
        <w:rPr>
          <w:rFonts w:asciiTheme="minorHAnsi" w:eastAsiaTheme="minorEastAsia" w:hAnsiTheme="minorHAnsi" w:cstheme="minorHAnsi"/>
          <w:sz w:val="22"/>
          <w:szCs w:val="22"/>
          <w:lang w:val="en-US" w:eastAsia="en-US"/>
        </w:rPr>
        <w:t>.</w:t>
      </w:r>
      <w:r w:rsidR="00434163">
        <w:rPr>
          <w:rFonts w:asciiTheme="minorHAnsi" w:eastAsiaTheme="minorEastAsia" w:hAnsiTheme="minorHAnsi" w:cstheme="minorHAnsi"/>
          <w:sz w:val="22"/>
          <w:szCs w:val="22"/>
          <w:lang w:val="en-US" w:eastAsia="en-US"/>
        </w:rPr>
        <w:t xml:space="preserve"> This </w:t>
      </w:r>
      <w:r w:rsidR="0098696E">
        <w:rPr>
          <w:rFonts w:asciiTheme="minorHAnsi" w:eastAsiaTheme="minorEastAsia" w:hAnsiTheme="minorHAnsi" w:cstheme="minorHAnsi"/>
          <w:sz w:val="22"/>
          <w:szCs w:val="22"/>
          <w:lang w:val="en-US" w:eastAsia="en-US"/>
        </w:rPr>
        <w:t xml:space="preserve">is </w:t>
      </w:r>
      <w:r w:rsidR="00434163">
        <w:rPr>
          <w:rFonts w:asciiTheme="minorHAnsi" w:eastAsiaTheme="minorEastAsia" w:hAnsiTheme="minorHAnsi" w:cstheme="minorHAnsi"/>
          <w:sz w:val="22"/>
          <w:szCs w:val="22"/>
          <w:lang w:val="en-US" w:eastAsia="en-US"/>
        </w:rPr>
        <w:t>the case even if the charity pursues that purpose only to a ‘minor’ extent.</w:t>
      </w:r>
      <w:r w:rsidR="00FE40D8">
        <w:rPr>
          <w:rStyle w:val="FootnoteReference"/>
          <w:rFonts w:asciiTheme="minorHAnsi" w:eastAsiaTheme="minorEastAsia" w:hAnsiTheme="minorHAnsi" w:cstheme="minorHAnsi"/>
          <w:sz w:val="22"/>
          <w:szCs w:val="22"/>
          <w:lang w:val="en-US" w:eastAsia="en-US"/>
        </w:rPr>
        <w:footnoteReference w:id="45"/>
      </w:r>
    </w:p>
    <w:p w14:paraId="0289FF3B" w14:textId="1221C6EA" w:rsidR="00382435" w:rsidRPr="00116327" w:rsidRDefault="00382435" w:rsidP="008F6E7B">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u w:val="single"/>
          <w:lang w:val="en-US" w:eastAsia="en-US"/>
        </w:rPr>
      </w:pPr>
      <w:r w:rsidRPr="00116327">
        <w:rPr>
          <w:rFonts w:asciiTheme="minorHAnsi" w:eastAsiaTheme="minorEastAsia" w:hAnsiTheme="minorHAnsi" w:cstheme="minorHAnsi"/>
          <w:sz w:val="22"/>
          <w:szCs w:val="22"/>
          <w:lang w:val="en-US" w:eastAsia="en-US"/>
        </w:rPr>
        <w:t>If a charity has a</w:t>
      </w:r>
      <w:r w:rsidR="009A21F1" w:rsidRPr="00116327">
        <w:rPr>
          <w:rFonts w:asciiTheme="minorHAnsi" w:eastAsiaTheme="minorEastAsia" w:hAnsiTheme="minorHAnsi" w:cstheme="minorHAnsi"/>
          <w:sz w:val="22"/>
          <w:szCs w:val="22"/>
          <w:lang w:val="en-US" w:eastAsia="en-US"/>
        </w:rPr>
        <w:t>n independent</w:t>
      </w:r>
      <w:r w:rsidRPr="00116327">
        <w:rPr>
          <w:rFonts w:asciiTheme="minorHAnsi" w:eastAsiaTheme="minorEastAsia" w:hAnsiTheme="minorHAnsi" w:cstheme="minorHAnsi"/>
          <w:sz w:val="22"/>
          <w:szCs w:val="22"/>
          <w:lang w:val="en-US" w:eastAsia="en-US"/>
        </w:rPr>
        <w:t xml:space="preserve"> purpose </w:t>
      </w:r>
      <w:r w:rsidR="0098696E">
        <w:rPr>
          <w:rFonts w:asciiTheme="minorHAnsi" w:eastAsiaTheme="minorEastAsia" w:hAnsiTheme="minorHAnsi" w:cstheme="minorHAnsi"/>
          <w:sz w:val="22"/>
          <w:szCs w:val="22"/>
          <w:lang w:val="en-US" w:eastAsia="en-US"/>
        </w:rPr>
        <w:t>that</w:t>
      </w:r>
      <w:r w:rsidR="0098696E" w:rsidRPr="00116327">
        <w:rPr>
          <w:rFonts w:asciiTheme="minorHAnsi" w:eastAsiaTheme="minorEastAsia" w:hAnsiTheme="minorHAnsi" w:cstheme="minorHAnsi"/>
          <w:sz w:val="22"/>
          <w:szCs w:val="22"/>
          <w:lang w:val="en-US" w:eastAsia="en-US"/>
        </w:rPr>
        <w:t xml:space="preserve"> </w:t>
      </w:r>
      <w:r w:rsidRPr="00116327">
        <w:rPr>
          <w:rFonts w:asciiTheme="minorHAnsi" w:eastAsiaTheme="minorEastAsia" w:hAnsiTheme="minorHAnsi" w:cstheme="minorHAnsi"/>
          <w:sz w:val="22"/>
          <w:szCs w:val="22"/>
          <w:lang w:val="en-US" w:eastAsia="en-US"/>
        </w:rPr>
        <w:t>is not benevolent relief,</w:t>
      </w:r>
      <w:r w:rsidR="00672325" w:rsidRPr="00116327">
        <w:rPr>
          <w:rFonts w:asciiTheme="minorHAnsi" w:eastAsiaTheme="minorEastAsia" w:hAnsiTheme="minorHAnsi" w:cstheme="minorHAnsi"/>
          <w:sz w:val="22"/>
          <w:szCs w:val="22"/>
          <w:lang w:val="en-US" w:eastAsia="en-US"/>
        </w:rPr>
        <w:t xml:space="preserve"> </w:t>
      </w:r>
      <w:r w:rsidR="006379EA">
        <w:rPr>
          <w:rFonts w:asciiTheme="minorHAnsi" w:eastAsiaTheme="minorEastAsia" w:hAnsiTheme="minorHAnsi" w:cstheme="minorHAnsi"/>
          <w:sz w:val="22"/>
          <w:szCs w:val="22"/>
          <w:lang w:val="en-US" w:eastAsia="en-US"/>
        </w:rPr>
        <w:t>it is</w:t>
      </w:r>
      <w:r w:rsidRPr="00116327">
        <w:rPr>
          <w:rFonts w:asciiTheme="minorHAnsi" w:eastAsiaTheme="minorEastAsia" w:hAnsiTheme="minorHAnsi" w:cstheme="minorHAnsi"/>
          <w:sz w:val="22"/>
          <w:szCs w:val="22"/>
          <w:lang w:val="en-US" w:eastAsia="en-US"/>
        </w:rPr>
        <w:t xml:space="preserve"> not entitled to registration as a PBI.</w:t>
      </w:r>
      <w:r w:rsidR="00F727DC">
        <w:rPr>
          <w:rFonts w:asciiTheme="minorHAnsi" w:eastAsiaTheme="minorEastAsia" w:hAnsiTheme="minorHAnsi" w:cstheme="minorHAnsi"/>
          <w:sz w:val="22"/>
          <w:szCs w:val="22"/>
          <w:lang w:val="en-US" w:eastAsia="en-US"/>
        </w:rPr>
        <w:t xml:space="preserve"> </w:t>
      </w:r>
      <w:r w:rsidR="00E94455">
        <w:rPr>
          <w:rFonts w:asciiTheme="minorHAnsi" w:eastAsiaTheme="minorEastAsia" w:hAnsiTheme="minorHAnsi" w:cstheme="minorHAnsi"/>
          <w:sz w:val="22"/>
          <w:szCs w:val="22"/>
          <w:lang w:val="en-US" w:eastAsia="en-US"/>
        </w:rPr>
        <w:t xml:space="preserve">For example, if a charity has an independent purpose of advancing religion or advancing the natural environment, it </w:t>
      </w:r>
      <w:r w:rsidR="006379EA">
        <w:rPr>
          <w:rFonts w:asciiTheme="minorHAnsi" w:eastAsiaTheme="minorEastAsia" w:hAnsiTheme="minorHAnsi" w:cstheme="minorHAnsi"/>
          <w:sz w:val="22"/>
          <w:szCs w:val="22"/>
          <w:lang w:val="en-US" w:eastAsia="en-US"/>
        </w:rPr>
        <w:t xml:space="preserve">is </w:t>
      </w:r>
      <w:r w:rsidR="00E94455">
        <w:rPr>
          <w:rFonts w:asciiTheme="minorHAnsi" w:eastAsiaTheme="minorEastAsia" w:hAnsiTheme="minorHAnsi" w:cstheme="minorHAnsi"/>
          <w:sz w:val="22"/>
          <w:szCs w:val="22"/>
          <w:lang w:val="en-US" w:eastAsia="en-US"/>
        </w:rPr>
        <w:t>not entitled to registration as a PBI.</w:t>
      </w:r>
    </w:p>
    <w:p w14:paraId="3608530B" w14:textId="37E9F0A6" w:rsidR="005274F8" w:rsidRPr="00116327" w:rsidRDefault="00924580" w:rsidP="008F6E7B">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u w:val="single"/>
          <w:lang w:val="en-US" w:eastAsia="en-US"/>
        </w:rPr>
      </w:pPr>
      <w:r>
        <w:rPr>
          <w:rFonts w:asciiTheme="minorHAnsi" w:eastAsiaTheme="minorEastAsia" w:hAnsiTheme="minorHAnsi" w:cstheme="minorHAnsi"/>
          <w:sz w:val="22"/>
          <w:szCs w:val="22"/>
          <w:lang w:val="en-US" w:eastAsia="en-US"/>
        </w:rPr>
        <w:t>But</w:t>
      </w:r>
      <w:r w:rsidR="00E02314">
        <w:rPr>
          <w:rFonts w:asciiTheme="minorHAnsi" w:eastAsiaTheme="minorEastAsia" w:hAnsiTheme="minorHAnsi" w:cstheme="minorHAnsi"/>
          <w:sz w:val="22"/>
          <w:szCs w:val="22"/>
          <w:lang w:val="en-US" w:eastAsia="en-US"/>
        </w:rPr>
        <w:t xml:space="preserve"> w</w:t>
      </w:r>
      <w:r w:rsidR="005274F8" w:rsidRPr="00116327">
        <w:rPr>
          <w:rFonts w:asciiTheme="minorHAnsi" w:eastAsiaTheme="minorEastAsia" w:hAnsiTheme="minorHAnsi" w:cstheme="minorHAnsi"/>
          <w:sz w:val="22"/>
          <w:szCs w:val="22"/>
          <w:lang w:val="en-US" w:eastAsia="en-US"/>
        </w:rPr>
        <w:t xml:space="preserve">hen determining </w:t>
      </w:r>
      <w:r w:rsidR="00A137B5" w:rsidRPr="00116327">
        <w:rPr>
          <w:rFonts w:asciiTheme="minorHAnsi" w:eastAsiaTheme="minorEastAsia" w:hAnsiTheme="minorHAnsi" w:cstheme="minorHAnsi"/>
          <w:sz w:val="22"/>
          <w:szCs w:val="22"/>
          <w:lang w:val="en-US" w:eastAsia="en-US"/>
        </w:rPr>
        <w:t xml:space="preserve">a charity’s </w:t>
      </w:r>
      <w:r w:rsidR="005274F8" w:rsidRPr="00116327">
        <w:rPr>
          <w:rFonts w:asciiTheme="minorHAnsi" w:eastAsiaTheme="minorEastAsia" w:hAnsiTheme="minorHAnsi" w:cstheme="minorHAnsi"/>
          <w:sz w:val="22"/>
          <w:szCs w:val="22"/>
          <w:lang w:val="en-US" w:eastAsia="en-US"/>
        </w:rPr>
        <w:t>purpose</w:t>
      </w:r>
      <w:r w:rsidR="009E0FC5" w:rsidRPr="00116327">
        <w:rPr>
          <w:rFonts w:asciiTheme="minorHAnsi" w:eastAsiaTheme="minorEastAsia" w:hAnsiTheme="minorHAnsi" w:cstheme="minorHAnsi"/>
          <w:sz w:val="22"/>
          <w:szCs w:val="22"/>
          <w:lang w:val="en-US" w:eastAsia="en-US"/>
        </w:rPr>
        <w:t>s</w:t>
      </w:r>
      <w:r w:rsidR="005274F8" w:rsidRPr="00116327">
        <w:rPr>
          <w:rFonts w:asciiTheme="minorHAnsi" w:eastAsiaTheme="minorEastAsia" w:hAnsiTheme="minorHAnsi" w:cstheme="minorHAnsi"/>
          <w:sz w:val="22"/>
          <w:szCs w:val="22"/>
          <w:lang w:val="en-US" w:eastAsia="en-US"/>
        </w:rPr>
        <w:t xml:space="preserve">, the motives of </w:t>
      </w:r>
      <w:r w:rsidR="00A137B5" w:rsidRPr="00116327">
        <w:rPr>
          <w:rFonts w:asciiTheme="minorHAnsi" w:eastAsiaTheme="minorEastAsia" w:hAnsiTheme="minorHAnsi" w:cstheme="minorHAnsi"/>
          <w:sz w:val="22"/>
          <w:szCs w:val="22"/>
          <w:lang w:val="en-US" w:eastAsia="en-US"/>
        </w:rPr>
        <w:t>the</w:t>
      </w:r>
      <w:r w:rsidR="005274F8" w:rsidRPr="00116327">
        <w:rPr>
          <w:rFonts w:asciiTheme="minorHAnsi" w:eastAsiaTheme="minorEastAsia" w:hAnsiTheme="minorHAnsi" w:cstheme="minorHAnsi"/>
          <w:sz w:val="22"/>
          <w:szCs w:val="22"/>
          <w:lang w:val="en-US" w:eastAsia="en-US"/>
        </w:rPr>
        <w:t xml:space="preserve"> charity’s founders are not a relevant consideration</w:t>
      </w:r>
      <w:r w:rsidR="0083542A" w:rsidRPr="00D23A7B">
        <w:rPr>
          <w:rFonts w:asciiTheme="minorHAnsi" w:hAnsiTheme="minorHAnsi" w:cstheme="minorHAnsi"/>
          <w:sz w:val="22"/>
          <w:szCs w:val="22"/>
        </w:rPr>
        <w:t>.</w:t>
      </w:r>
      <w:r w:rsidR="0083542A" w:rsidRPr="00D23A7B">
        <w:rPr>
          <w:rStyle w:val="FootnoteReference"/>
          <w:rFonts w:asciiTheme="minorHAnsi" w:hAnsiTheme="minorHAnsi" w:cstheme="minorHAnsi"/>
          <w:sz w:val="22"/>
          <w:szCs w:val="22"/>
        </w:rPr>
        <w:footnoteReference w:id="46"/>
      </w:r>
      <w:r w:rsidR="0083542A" w:rsidRPr="00D23A7B">
        <w:rPr>
          <w:rFonts w:asciiTheme="minorHAnsi" w:hAnsiTheme="minorHAnsi" w:cstheme="minorHAnsi"/>
          <w:sz w:val="22"/>
          <w:szCs w:val="22"/>
        </w:rPr>
        <w:t xml:space="preserve"> </w:t>
      </w:r>
      <w:r w:rsidR="00374E65">
        <w:rPr>
          <w:rFonts w:asciiTheme="minorHAnsi" w:hAnsiTheme="minorHAnsi" w:cstheme="minorHAnsi"/>
          <w:sz w:val="22"/>
          <w:szCs w:val="22"/>
        </w:rPr>
        <w:t>For example</w:t>
      </w:r>
      <w:r w:rsidR="005159F6" w:rsidRPr="00D23A7B">
        <w:rPr>
          <w:rFonts w:asciiTheme="minorHAnsi" w:hAnsiTheme="minorHAnsi" w:cstheme="minorHAnsi"/>
          <w:sz w:val="22"/>
          <w:szCs w:val="22"/>
        </w:rPr>
        <w:t>,</w:t>
      </w:r>
      <w:r w:rsidR="0083542A" w:rsidRPr="00D23A7B">
        <w:rPr>
          <w:rFonts w:asciiTheme="minorHAnsi" w:hAnsiTheme="minorHAnsi" w:cstheme="minorHAnsi"/>
          <w:sz w:val="22"/>
          <w:szCs w:val="22"/>
        </w:rPr>
        <w:t xml:space="preserve"> if the </w:t>
      </w:r>
      <w:r w:rsidR="00833BA0" w:rsidRPr="00D23A7B">
        <w:rPr>
          <w:rFonts w:asciiTheme="minorHAnsi" w:hAnsiTheme="minorHAnsi" w:cstheme="minorHAnsi"/>
          <w:sz w:val="22"/>
          <w:szCs w:val="22"/>
        </w:rPr>
        <w:t xml:space="preserve">founders of a charity </w:t>
      </w:r>
      <w:r w:rsidR="00374E65">
        <w:rPr>
          <w:rFonts w:asciiTheme="minorHAnsi" w:hAnsiTheme="minorHAnsi" w:cstheme="minorHAnsi"/>
          <w:sz w:val="22"/>
          <w:szCs w:val="22"/>
        </w:rPr>
        <w:t>ar</w:t>
      </w:r>
      <w:r w:rsidR="00833BA0" w:rsidRPr="00D23A7B">
        <w:rPr>
          <w:rFonts w:asciiTheme="minorHAnsi" w:hAnsiTheme="minorHAnsi" w:cstheme="minorHAnsi"/>
          <w:sz w:val="22"/>
          <w:szCs w:val="22"/>
        </w:rPr>
        <w:t>e</w:t>
      </w:r>
      <w:r w:rsidR="0083542A" w:rsidRPr="00D23A7B">
        <w:rPr>
          <w:rFonts w:asciiTheme="minorHAnsi" w:hAnsiTheme="minorHAnsi" w:cstheme="minorHAnsi"/>
          <w:sz w:val="22"/>
          <w:szCs w:val="22"/>
        </w:rPr>
        <w:t xml:space="preserve"> motivated by religious faith </w:t>
      </w:r>
      <w:r w:rsidR="006E2389" w:rsidRPr="00D23A7B">
        <w:rPr>
          <w:rFonts w:asciiTheme="minorHAnsi" w:hAnsiTheme="minorHAnsi" w:cstheme="minorHAnsi"/>
          <w:sz w:val="22"/>
          <w:szCs w:val="22"/>
        </w:rPr>
        <w:t>but</w:t>
      </w:r>
      <w:r w:rsidR="0083542A" w:rsidRPr="00D23A7B">
        <w:rPr>
          <w:rFonts w:asciiTheme="minorHAnsi" w:hAnsiTheme="minorHAnsi" w:cstheme="minorHAnsi"/>
          <w:sz w:val="22"/>
          <w:szCs w:val="22"/>
        </w:rPr>
        <w:t xml:space="preserve"> </w:t>
      </w:r>
      <w:r w:rsidR="00A01803">
        <w:rPr>
          <w:rFonts w:asciiTheme="minorHAnsi" w:hAnsiTheme="minorHAnsi" w:cstheme="minorHAnsi"/>
          <w:sz w:val="22"/>
          <w:szCs w:val="22"/>
        </w:rPr>
        <w:t>the charity’s</w:t>
      </w:r>
      <w:r w:rsidR="00A01803" w:rsidRPr="00D23A7B">
        <w:rPr>
          <w:rFonts w:asciiTheme="minorHAnsi" w:hAnsiTheme="minorHAnsi" w:cstheme="minorHAnsi"/>
          <w:sz w:val="22"/>
          <w:szCs w:val="22"/>
        </w:rPr>
        <w:t xml:space="preserve"> </w:t>
      </w:r>
      <w:r w:rsidR="0083542A" w:rsidRPr="00D23A7B">
        <w:rPr>
          <w:rFonts w:asciiTheme="minorHAnsi" w:hAnsiTheme="minorHAnsi" w:cstheme="minorHAnsi"/>
          <w:sz w:val="22"/>
          <w:szCs w:val="22"/>
        </w:rPr>
        <w:t>main purpose is</w:t>
      </w:r>
      <w:r w:rsidR="00A33D16" w:rsidRPr="00D23A7B">
        <w:rPr>
          <w:rFonts w:asciiTheme="minorHAnsi" w:hAnsiTheme="minorHAnsi" w:cstheme="minorHAnsi"/>
          <w:sz w:val="22"/>
          <w:szCs w:val="22"/>
        </w:rPr>
        <w:t xml:space="preserve"> provid</w:t>
      </w:r>
      <w:r w:rsidR="006379EA">
        <w:rPr>
          <w:rFonts w:asciiTheme="minorHAnsi" w:hAnsiTheme="minorHAnsi" w:cstheme="minorHAnsi"/>
          <w:sz w:val="22"/>
          <w:szCs w:val="22"/>
        </w:rPr>
        <w:t>ing</w:t>
      </w:r>
      <w:r w:rsidR="0083542A" w:rsidRPr="00D23A7B">
        <w:rPr>
          <w:rFonts w:asciiTheme="minorHAnsi" w:hAnsiTheme="minorHAnsi" w:cstheme="minorHAnsi"/>
          <w:sz w:val="22"/>
          <w:szCs w:val="22"/>
        </w:rPr>
        <w:t xml:space="preserve"> benevolent</w:t>
      </w:r>
      <w:r w:rsidR="00A33D16" w:rsidRPr="00D23A7B">
        <w:rPr>
          <w:rFonts w:asciiTheme="minorHAnsi" w:hAnsiTheme="minorHAnsi" w:cstheme="minorHAnsi"/>
          <w:sz w:val="22"/>
          <w:szCs w:val="22"/>
        </w:rPr>
        <w:t xml:space="preserve"> relief</w:t>
      </w:r>
      <w:r w:rsidR="0083542A" w:rsidRPr="00D23A7B">
        <w:rPr>
          <w:rFonts w:asciiTheme="minorHAnsi" w:hAnsiTheme="minorHAnsi" w:cstheme="minorHAnsi"/>
          <w:sz w:val="22"/>
          <w:szCs w:val="22"/>
        </w:rPr>
        <w:t xml:space="preserve">, </w:t>
      </w:r>
      <w:r w:rsidR="006E2389" w:rsidRPr="00D23A7B">
        <w:rPr>
          <w:rFonts w:asciiTheme="minorHAnsi" w:hAnsiTheme="minorHAnsi" w:cstheme="minorHAnsi"/>
          <w:sz w:val="22"/>
          <w:szCs w:val="22"/>
        </w:rPr>
        <w:t>it may be eligible to be registered as a PBI.</w:t>
      </w:r>
    </w:p>
    <w:p w14:paraId="6DEDF981" w14:textId="26DB44A2" w:rsidR="00FC3187" w:rsidRDefault="001D1C27" w:rsidP="00FC3187">
      <w:pPr>
        <w:pStyle w:val="ListParagraph"/>
        <w:spacing w:before="120" w:after="120" w:line="276" w:lineRule="auto"/>
        <w:ind w:left="930"/>
        <w:textAlignment w:val="baseline"/>
        <w:rPr>
          <w:rFonts w:asciiTheme="minorHAnsi" w:eastAsiaTheme="minorEastAsia" w:hAnsiTheme="minorHAnsi" w:cstheme="minorHAnsi"/>
          <w:sz w:val="22"/>
          <w:szCs w:val="22"/>
          <w:u w:val="single"/>
          <w:lang w:val="en-US" w:eastAsia="en-US"/>
        </w:rPr>
      </w:pPr>
      <w:r>
        <w:rPr>
          <w:rFonts w:asciiTheme="minorHAnsi" w:eastAsiaTheme="minorEastAsia" w:hAnsiTheme="minorHAnsi" w:cstheme="minorHAnsi"/>
          <w:sz w:val="22"/>
          <w:szCs w:val="22"/>
          <w:u w:val="single"/>
          <w:lang w:val="en-US" w:eastAsia="en-US"/>
        </w:rPr>
        <w:t xml:space="preserve">Conducting </w:t>
      </w:r>
      <w:r w:rsidR="00D23A7B">
        <w:rPr>
          <w:rFonts w:asciiTheme="minorHAnsi" w:eastAsiaTheme="minorEastAsia" w:hAnsiTheme="minorHAnsi" w:cstheme="minorHAnsi"/>
          <w:sz w:val="22"/>
          <w:szCs w:val="22"/>
          <w:u w:val="single"/>
          <w:lang w:val="en-US" w:eastAsia="en-US"/>
        </w:rPr>
        <w:t xml:space="preserve">commercial </w:t>
      </w:r>
      <w:r>
        <w:rPr>
          <w:rFonts w:asciiTheme="minorHAnsi" w:eastAsiaTheme="minorEastAsia" w:hAnsiTheme="minorHAnsi" w:cstheme="minorHAnsi"/>
          <w:sz w:val="22"/>
          <w:szCs w:val="22"/>
          <w:u w:val="single"/>
          <w:lang w:val="en-US" w:eastAsia="en-US"/>
        </w:rPr>
        <w:t>activities to raise funds</w:t>
      </w:r>
      <w:r w:rsidR="006C4D11">
        <w:rPr>
          <w:rFonts w:asciiTheme="minorHAnsi" w:eastAsiaTheme="minorEastAsia" w:hAnsiTheme="minorHAnsi" w:cstheme="minorHAnsi"/>
          <w:sz w:val="22"/>
          <w:szCs w:val="22"/>
          <w:u w:val="single"/>
          <w:lang w:val="en-US" w:eastAsia="en-US"/>
        </w:rPr>
        <w:t xml:space="preserve"> for relief</w:t>
      </w:r>
    </w:p>
    <w:p w14:paraId="4DAF0C7C" w14:textId="4FE72F27" w:rsidR="001D1C27" w:rsidRPr="00116327" w:rsidRDefault="00BE56A0" w:rsidP="00BE56A0">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116327">
        <w:rPr>
          <w:rFonts w:asciiTheme="minorHAnsi" w:eastAsiaTheme="minorEastAsia" w:hAnsiTheme="minorHAnsi" w:cstheme="minorHAnsi"/>
          <w:sz w:val="22"/>
          <w:szCs w:val="22"/>
          <w:lang w:val="en-US" w:eastAsia="en-US"/>
        </w:rPr>
        <w:t xml:space="preserve">A PBI may conduct </w:t>
      </w:r>
      <w:r w:rsidR="008F306D">
        <w:rPr>
          <w:rFonts w:asciiTheme="minorHAnsi" w:eastAsiaTheme="minorEastAsia" w:hAnsiTheme="minorHAnsi" w:cstheme="minorHAnsi"/>
          <w:sz w:val="22"/>
          <w:szCs w:val="22"/>
          <w:lang w:val="en-US" w:eastAsia="en-US"/>
        </w:rPr>
        <w:t>commercial</w:t>
      </w:r>
      <w:r w:rsidRPr="00116327">
        <w:rPr>
          <w:rFonts w:asciiTheme="minorHAnsi" w:eastAsiaTheme="minorEastAsia" w:hAnsiTheme="minorHAnsi" w:cstheme="minorHAnsi"/>
          <w:sz w:val="22"/>
          <w:szCs w:val="22"/>
          <w:lang w:val="en-US" w:eastAsia="en-US"/>
        </w:rPr>
        <w:t xml:space="preserve"> activities if </w:t>
      </w:r>
      <w:r w:rsidR="00E2043C">
        <w:rPr>
          <w:rFonts w:asciiTheme="minorHAnsi" w:eastAsiaTheme="minorEastAsia" w:hAnsiTheme="minorHAnsi" w:cstheme="minorHAnsi"/>
          <w:sz w:val="22"/>
          <w:szCs w:val="22"/>
          <w:lang w:val="en-US" w:eastAsia="en-US"/>
        </w:rPr>
        <w:t>they</w:t>
      </w:r>
      <w:r w:rsidRPr="00116327">
        <w:rPr>
          <w:rFonts w:asciiTheme="minorHAnsi" w:eastAsiaTheme="minorEastAsia" w:hAnsiTheme="minorHAnsi" w:cstheme="minorHAnsi"/>
          <w:sz w:val="22"/>
          <w:szCs w:val="22"/>
          <w:lang w:val="en-US" w:eastAsia="en-US"/>
        </w:rPr>
        <w:t xml:space="preserve"> are merely a means </w:t>
      </w:r>
      <w:r w:rsidR="00E2043C">
        <w:rPr>
          <w:rFonts w:asciiTheme="minorHAnsi" w:eastAsiaTheme="minorEastAsia" w:hAnsiTheme="minorHAnsi" w:cstheme="minorHAnsi"/>
          <w:sz w:val="22"/>
          <w:szCs w:val="22"/>
          <w:lang w:val="en-US" w:eastAsia="en-US"/>
        </w:rPr>
        <w:t xml:space="preserve">by which </w:t>
      </w:r>
      <w:r w:rsidRPr="00116327">
        <w:rPr>
          <w:rFonts w:asciiTheme="minorHAnsi" w:eastAsiaTheme="minorEastAsia" w:hAnsiTheme="minorHAnsi" w:cstheme="minorHAnsi"/>
          <w:sz w:val="22"/>
          <w:szCs w:val="22"/>
          <w:lang w:val="en-US" w:eastAsia="en-US"/>
        </w:rPr>
        <w:t xml:space="preserve">the charity </w:t>
      </w:r>
      <w:r w:rsidR="00E2043C">
        <w:rPr>
          <w:rFonts w:asciiTheme="minorHAnsi" w:eastAsiaTheme="minorEastAsia" w:hAnsiTheme="minorHAnsi" w:cstheme="minorHAnsi"/>
          <w:sz w:val="22"/>
          <w:szCs w:val="22"/>
          <w:lang w:val="en-US" w:eastAsia="en-US"/>
        </w:rPr>
        <w:t>raises</w:t>
      </w:r>
      <w:r w:rsidRPr="00116327">
        <w:rPr>
          <w:rFonts w:asciiTheme="minorHAnsi" w:eastAsiaTheme="minorEastAsia" w:hAnsiTheme="minorHAnsi" w:cstheme="minorHAnsi"/>
          <w:sz w:val="22"/>
          <w:szCs w:val="22"/>
          <w:lang w:val="en-US" w:eastAsia="en-US"/>
        </w:rPr>
        <w:t xml:space="preserve"> fund</w:t>
      </w:r>
      <w:r w:rsidR="00A97B86" w:rsidRPr="00116327">
        <w:rPr>
          <w:rFonts w:asciiTheme="minorHAnsi" w:eastAsiaTheme="minorEastAsia" w:hAnsiTheme="minorHAnsi" w:cstheme="minorHAnsi"/>
          <w:sz w:val="22"/>
          <w:szCs w:val="22"/>
          <w:lang w:val="en-US" w:eastAsia="en-US"/>
        </w:rPr>
        <w:t xml:space="preserve">s </w:t>
      </w:r>
      <w:r w:rsidR="00E2043C">
        <w:rPr>
          <w:rFonts w:asciiTheme="minorHAnsi" w:eastAsiaTheme="minorEastAsia" w:hAnsiTheme="minorHAnsi" w:cstheme="minorHAnsi"/>
          <w:sz w:val="22"/>
          <w:szCs w:val="22"/>
          <w:lang w:val="en-US" w:eastAsia="en-US"/>
        </w:rPr>
        <w:t>for</w:t>
      </w:r>
      <w:r w:rsidR="00A97B86" w:rsidRPr="00116327">
        <w:rPr>
          <w:rFonts w:asciiTheme="minorHAnsi" w:eastAsiaTheme="minorEastAsia" w:hAnsiTheme="minorHAnsi" w:cstheme="minorHAnsi"/>
          <w:sz w:val="22"/>
          <w:szCs w:val="22"/>
          <w:lang w:val="en-US" w:eastAsia="en-US"/>
        </w:rPr>
        <w:t xml:space="preserve"> its </w:t>
      </w:r>
      <w:r w:rsidR="00E2043C">
        <w:rPr>
          <w:rFonts w:asciiTheme="minorHAnsi" w:eastAsiaTheme="minorEastAsia" w:hAnsiTheme="minorHAnsi" w:cstheme="minorHAnsi"/>
          <w:sz w:val="22"/>
          <w:szCs w:val="22"/>
          <w:lang w:val="en-US" w:eastAsia="en-US"/>
        </w:rPr>
        <w:t xml:space="preserve">purpose of </w:t>
      </w:r>
      <w:r w:rsidR="00A97B86" w:rsidRPr="00116327">
        <w:rPr>
          <w:rFonts w:asciiTheme="minorHAnsi" w:eastAsiaTheme="minorEastAsia" w:hAnsiTheme="minorHAnsi" w:cstheme="minorHAnsi"/>
          <w:sz w:val="22"/>
          <w:szCs w:val="22"/>
          <w:lang w:val="en-US" w:eastAsia="en-US"/>
        </w:rPr>
        <w:t>benevolent relief.</w:t>
      </w:r>
      <w:r w:rsidR="00A97B86" w:rsidRPr="00116327">
        <w:rPr>
          <w:rStyle w:val="FootnoteReference"/>
          <w:rFonts w:asciiTheme="minorHAnsi" w:eastAsiaTheme="minorEastAsia" w:hAnsiTheme="minorHAnsi" w:cstheme="minorHAnsi"/>
          <w:sz w:val="22"/>
          <w:szCs w:val="22"/>
          <w:lang w:val="en-US" w:eastAsia="en-US"/>
        </w:rPr>
        <w:footnoteReference w:id="47"/>
      </w:r>
      <w:r w:rsidR="00A31A7B" w:rsidRPr="00116327">
        <w:rPr>
          <w:rFonts w:asciiTheme="minorHAnsi" w:eastAsiaTheme="minorEastAsia" w:hAnsiTheme="minorHAnsi" w:cstheme="minorHAnsi"/>
          <w:sz w:val="22"/>
          <w:szCs w:val="22"/>
          <w:lang w:val="en-US" w:eastAsia="en-US"/>
        </w:rPr>
        <w:t xml:space="preserve"> In this situation, the </w:t>
      </w:r>
      <w:r w:rsidR="00B01A0A">
        <w:rPr>
          <w:rFonts w:asciiTheme="minorHAnsi" w:eastAsiaTheme="minorEastAsia" w:hAnsiTheme="minorHAnsi" w:cstheme="minorHAnsi"/>
          <w:sz w:val="22"/>
          <w:szCs w:val="22"/>
          <w:lang w:val="en-US" w:eastAsia="en-US"/>
        </w:rPr>
        <w:t>commercial</w:t>
      </w:r>
      <w:r w:rsidR="00B01A0A" w:rsidRPr="00116327">
        <w:rPr>
          <w:rFonts w:asciiTheme="minorHAnsi" w:eastAsiaTheme="minorEastAsia" w:hAnsiTheme="minorHAnsi" w:cstheme="minorHAnsi"/>
          <w:sz w:val="22"/>
          <w:szCs w:val="22"/>
          <w:lang w:val="en-US" w:eastAsia="en-US"/>
        </w:rPr>
        <w:t xml:space="preserve"> </w:t>
      </w:r>
      <w:r w:rsidR="00A31A7B" w:rsidRPr="00116327">
        <w:rPr>
          <w:rFonts w:asciiTheme="minorHAnsi" w:eastAsiaTheme="minorEastAsia" w:hAnsiTheme="minorHAnsi" w:cstheme="minorHAnsi"/>
          <w:sz w:val="22"/>
          <w:szCs w:val="22"/>
          <w:lang w:val="en-US" w:eastAsia="en-US"/>
        </w:rPr>
        <w:t xml:space="preserve">activities </w:t>
      </w:r>
      <w:r w:rsidR="006C0A5D">
        <w:rPr>
          <w:rFonts w:asciiTheme="minorHAnsi" w:eastAsiaTheme="minorEastAsia" w:hAnsiTheme="minorHAnsi" w:cstheme="minorHAnsi"/>
          <w:sz w:val="22"/>
          <w:szCs w:val="22"/>
          <w:lang w:val="en-US" w:eastAsia="en-US"/>
        </w:rPr>
        <w:t>are</w:t>
      </w:r>
      <w:r w:rsidR="00A31A7B" w:rsidRPr="00116327">
        <w:rPr>
          <w:rFonts w:asciiTheme="minorHAnsi" w:eastAsiaTheme="minorEastAsia" w:hAnsiTheme="minorHAnsi" w:cstheme="minorHAnsi"/>
          <w:sz w:val="22"/>
          <w:szCs w:val="22"/>
          <w:lang w:val="en-US" w:eastAsia="en-US"/>
        </w:rPr>
        <w:t xml:space="preserve"> regarded as</w:t>
      </w:r>
      <w:r w:rsidR="00376B18" w:rsidRPr="00116327">
        <w:rPr>
          <w:rFonts w:asciiTheme="minorHAnsi" w:eastAsiaTheme="minorEastAsia" w:hAnsiTheme="minorHAnsi" w:cstheme="minorHAnsi"/>
          <w:sz w:val="22"/>
          <w:szCs w:val="22"/>
          <w:lang w:val="en-US" w:eastAsia="en-US"/>
        </w:rPr>
        <w:t xml:space="preserve"> a means of</w:t>
      </w:r>
      <w:r w:rsidR="00A31A7B" w:rsidRPr="00116327">
        <w:rPr>
          <w:rFonts w:asciiTheme="minorHAnsi" w:eastAsiaTheme="minorEastAsia" w:hAnsiTheme="minorHAnsi" w:cstheme="minorHAnsi"/>
          <w:sz w:val="22"/>
          <w:szCs w:val="22"/>
          <w:lang w:val="en-US" w:eastAsia="en-US"/>
        </w:rPr>
        <w:t xml:space="preserve"> </w:t>
      </w:r>
      <w:r w:rsidR="003E5FDD" w:rsidRPr="00116327">
        <w:rPr>
          <w:rFonts w:asciiTheme="minorHAnsi" w:eastAsiaTheme="minorEastAsia" w:hAnsiTheme="minorHAnsi" w:cstheme="minorHAnsi"/>
          <w:sz w:val="22"/>
          <w:szCs w:val="22"/>
          <w:lang w:val="en-US" w:eastAsia="en-US"/>
        </w:rPr>
        <w:t>supporting</w:t>
      </w:r>
      <w:r w:rsidR="00A31A7B" w:rsidRPr="00116327">
        <w:rPr>
          <w:rFonts w:asciiTheme="minorHAnsi" w:eastAsiaTheme="minorEastAsia" w:hAnsiTheme="minorHAnsi" w:cstheme="minorHAnsi"/>
          <w:sz w:val="22"/>
          <w:szCs w:val="22"/>
          <w:lang w:val="en-US" w:eastAsia="en-US"/>
        </w:rPr>
        <w:t xml:space="preserve"> the achievement of a </w:t>
      </w:r>
      <w:r w:rsidR="006C0A5D">
        <w:rPr>
          <w:rFonts w:asciiTheme="minorHAnsi" w:eastAsiaTheme="minorEastAsia" w:hAnsiTheme="minorHAnsi" w:cstheme="minorHAnsi"/>
          <w:sz w:val="22"/>
          <w:szCs w:val="22"/>
          <w:lang w:val="en-US" w:eastAsia="en-US"/>
        </w:rPr>
        <w:t xml:space="preserve">purpose of </w:t>
      </w:r>
      <w:r w:rsidR="00A31A7B" w:rsidRPr="00116327">
        <w:rPr>
          <w:rFonts w:asciiTheme="minorHAnsi" w:eastAsiaTheme="minorEastAsia" w:hAnsiTheme="minorHAnsi" w:cstheme="minorHAnsi"/>
          <w:sz w:val="22"/>
          <w:szCs w:val="22"/>
          <w:lang w:val="en-US" w:eastAsia="en-US"/>
        </w:rPr>
        <w:t>benevolent relief, rather than an independent commercial purpose.</w:t>
      </w:r>
    </w:p>
    <w:p w14:paraId="2895754E" w14:textId="363C6504" w:rsidR="00E10C8F" w:rsidRPr="00DD6227" w:rsidRDefault="00E10C8F" w:rsidP="00192545">
      <w:pPr>
        <w:spacing w:after="160" w:line="259" w:lineRule="auto"/>
        <w:rPr>
          <w:rFonts w:asciiTheme="minorHAnsi" w:eastAsiaTheme="minorEastAsia" w:hAnsiTheme="minorHAnsi" w:cstheme="minorHAnsi"/>
          <w:color w:val="1F3763"/>
          <w:szCs w:val="24"/>
          <w:lang w:val="en-US" w:eastAsia="en-US"/>
        </w:rPr>
      </w:pPr>
      <w:r w:rsidRPr="00DD6227">
        <w:rPr>
          <w:rFonts w:asciiTheme="minorHAnsi" w:eastAsiaTheme="minorEastAsia" w:hAnsiTheme="minorHAnsi" w:cstheme="minorHAnsi"/>
          <w:color w:val="1F3763"/>
          <w:szCs w:val="24"/>
          <w:lang w:val="en-US" w:eastAsia="en-US"/>
        </w:rPr>
        <w:lastRenderedPageBreak/>
        <w:t>Public</w:t>
      </w:r>
    </w:p>
    <w:p w14:paraId="38164DED" w14:textId="1823C7BD" w:rsidR="000121C2" w:rsidRPr="00DD6227" w:rsidRDefault="00E0101A"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The most important </w:t>
      </w:r>
      <w:r w:rsidR="00694B98" w:rsidRPr="00DD6227">
        <w:rPr>
          <w:rFonts w:asciiTheme="minorHAnsi" w:eastAsiaTheme="minorEastAsia" w:hAnsiTheme="minorHAnsi" w:cstheme="minorHAnsi"/>
          <w:sz w:val="22"/>
          <w:szCs w:val="22"/>
          <w:lang w:val="en-US" w:eastAsia="en-US"/>
        </w:rPr>
        <w:t>characteristic</w:t>
      </w:r>
      <w:r w:rsidR="00AA5247" w:rsidRPr="00DD6227">
        <w:rPr>
          <w:rFonts w:asciiTheme="minorHAnsi" w:eastAsiaTheme="minorEastAsia" w:hAnsiTheme="minorHAnsi" w:cstheme="minorHAnsi"/>
          <w:sz w:val="22"/>
          <w:szCs w:val="22"/>
          <w:lang w:val="en-US" w:eastAsia="en-US"/>
        </w:rPr>
        <w:t xml:space="preserve"> </w:t>
      </w:r>
      <w:r w:rsidR="00B77511">
        <w:rPr>
          <w:rFonts w:asciiTheme="minorHAnsi" w:eastAsiaTheme="minorEastAsia" w:hAnsiTheme="minorHAnsi" w:cstheme="minorHAnsi"/>
          <w:sz w:val="22"/>
          <w:szCs w:val="22"/>
          <w:lang w:val="en-US" w:eastAsia="en-US"/>
        </w:rPr>
        <w:t>in</w:t>
      </w:r>
      <w:r w:rsidR="00B77511" w:rsidRPr="00DD6227">
        <w:rPr>
          <w:rFonts w:asciiTheme="minorHAnsi" w:eastAsiaTheme="minorEastAsia" w:hAnsiTheme="minorHAnsi" w:cstheme="minorHAnsi"/>
          <w:sz w:val="22"/>
          <w:szCs w:val="22"/>
          <w:lang w:val="en-US" w:eastAsia="en-US"/>
        </w:rPr>
        <w:t xml:space="preserve"> </w:t>
      </w:r>
      <w:r w:rsidR="00AA5247" w:rsidRPr="00DD6227">
        <w:rPr>
          <w:rFonts w:asciiTheme="minorHAnsi" w:eastAsiaTheme="minorEastAsia" w:hAnsiTheme="minorHAnsi" w:cstheme="minorHAnsi"/>
          <w:sz w:val="22"/>
          <w:szCs w:val="22"/>
          <w:lang w:val="en-US" w:eastAsia="en-US"/>
        </w:rPr>
        <w:t>determin</w:t>
      </w:r>
      <w:r w:rsidR="00B77511">
        <w:rPr>
          <w:rFonts w:asciiTheme="minorHAnsi" w:eastAsiaTheme="minorEastAsia" w:hAnsiTheme="minorHAnsi" w:cstheme="minorHAnsi"/>
          <w:sz w:val="22"/>
          <w:szCs w:val="22"/>
          <w:lang w:val="en-US" w:eastAsia="en-US"/>
        </w:rPr>
        <w:t>ing</w:t>
      </w:r>
      <w:r w:rsidR="00AA5247" w:rsidRPr="00DD6227">
        <w:rPr>
          <w:rFonts w:asciiTheme="minorHAnsi" w:eastAsiaTheme="minorEastAsia" w:hAnsiTheme="minorHAnsi" w:cstheme="minorHAnsi"/>
          <w:sz w:val="22"/>
          <w:szCs w:val="22"/>
          <w:lang w:val="en-US" w:eastAsia="en-US"/>
        </w:rPr>
        <w:t xml:space="preserve"> whether a </w:t>
      </w:r>
      <w:r w:rsidR="00E13766" w:rsidRPr="00DD6227">
        <w:rPr>
          <w:rFonts w:asciiTheme="minorHAnsi" w:eastAsiaTheme="minorEastAsia" w:hAnsiTheme="minorHAnsi" w:cstheme="minorHAnsi"/>
          <w:sz w:val="22"/>
          <w:szCs w:val="22"/>
          <w:lang w:val="en-US" w:eastAsia="en-US"/>
        </w:rPr>
        <w:t>char</w:t>
      </w:r>
      <w:r w:rsidR="00AA5247" w:rsidRPr="00DD6227">
        <w:rPr>
          <w:rFonts w:asciiTheme="minorHAnsi" w:eastAsiaTheme="minorEastAsia" w:hAnsiTheme="minorHAnsi" w:cstheme="minorHAnsi"/>
          <w:sz w:val="22"/>
          <w:szCs w:val="22"/>
          <w:lang w:val="en-US" w:eastAsia="en-US"/>
        </w:rPr>
        <w:t xml:space="preserve">ity is ‘public’ in the </w:t>
      </w:r>
      <w:r w:rsidR="00E13766" w:rsidRPr="00DD6227">
        <w:rPr>
          <w:rFonts w:asciiTheme="minorHAnsi" w:eastAsiaTheme="minorEastAsia" w:hAnsiTheme="minorHAnsi" w:cstheme="minorHAnsi"/>
          <w:sz w:val="22"/>
          <w:szCs w:val="22"/>
          <w:lang w:val="en-US" w:eastAsia="en-US"/>
        </w:rPr>
        <w:t xml:space="preserve">sense required for </w:t>
      </w:r>
      <w:r w:rsidR="00B77511">
        <w:rPr>
          <w:rFonts w:asciiTheme="minorHAnsi" w:eastAsiaTheme="minorEastAsia" w:hAnsiTheme="minorHAnsi" w:cstheme="minorHAnsi"/>
          <w:sz w:val="22"/>
          <w:szCs w:val="22"/>
          <w:lang w:val="en-US" w:eastAsia="en-US"/>
        </w:rPr>
        <w:t xml:space="preserve">registration as </w:t>
      </w:r>
      <w:r w:rsidR="00E13766" w:rsidRPr="00DD6227">
        <w:rPr>
          <w:rFonts w:asciiTheme="minorHAnsi" w:eastAsiaTheme="minorEastAsia" w:hAnsiTheme="minorHAnsi" w:cstheme="minorHAnsi"/>
          <w:sz w:val="22"/>
          <w:szCs w:val="22"/>
          <w:lang w:val="en-US" w:eastAsia="en-US"/>
        </w:rPr>
        <w:t>a PBI is</w:t>
      </w:r>
      <w:r w:rsidR="00C56319" w:rsidRPr="00DD6227">
        <w:rPr>
          <w:rFonts w:asciiTheme="minorHAnsi" w:eastAsiaTheme="minorEastAsia" w:hAnsiTheme="minorHAnsi" w:cstheme="minorHAnsi"/>
          <w:sz w:val="22"/>
          <w:szCs w:val="22"/>
          <w:lang w:val="en-US" w:eastAsia="en-US"/>
        </w:rPr>
        <w:t xml:space="preserve"> </w:t>
      </w:r>
      <w:r w:rsidR="000F5654" w:rsidRPr="00DD6227">
        <w:rPr>
          <w:rFonts w:asciiTheme="minorHAnsi" w:eastAsiaTheme="minorEastAsia" w:hAnsiTheme="minorHAnsi" w:cstheme="minorHAnsi"/>
          <w:sz w:val="22"/>
          <w:szCs w:val="22"/>
          <w:lang w:val="en-US" w:eastAsia="en-US"/>
        </w:rPr>
        <w:t xml:space="preserve">that </w:t>
      </w:r>
      <w:r w:rsidR="005B7D92">
        <w:rPr>
          <w:rFonts w:asciiTheme="minorHAnsi" w:eastAsiaTheme="minorEastAsia" w:hAnsiTheme="minorHAnsi" w:cstheme="minorHAnsi"/>
          <w:sz w:val="22"/>
          <w:szCs w:val="22"/>
          <w:lang w:val="en-US" w:eastAsia="en-US"/>
        </w:rPr>
        <w:t>it</w:t>
      </w:r>
      <w:r w:rsidR="000F5654" w:rsidRPr="00DD6227">
        <w:rPr>
          <w:rFonts w:asciiTheme="minorHAnsi" w:eastAsiaTheme="minorEastAsia" w:hAnsiTheme="minorHAnsi" w:cstheme="minorHAnsi"/>
          <w:sz w:val="22"/>
          <w:szCs w:val="22"/>
          <w:lang w:val="en-US" w:eastAsia="en-US"/>
        </w:rPr>
        <w:t xml:space="preserve"> must</w:t>
      </w:r>
      <w:r w:rsidRPr="00DD6227">
        <w:rPr>
          <w:rFonts w:asciiTheme="minorHAnsi" w:eastAsiaTheme="minorEastAsia" w:hAnsiTheme="minorHAnsi" w:cstheme="minorHAnsi"/>
          <w:sz w:val="22"/>
          <w:szCs w:val="22"/>
          <w:lang w:val="en-US" w:eastAsia="en-US"/>
        </w:rPr>
        <w:t xml:space="preserve"> assist an ‘extensive’</w:t>
      </w:r>
      <w:r w:rsidR="00FE77A9" w:rsidRPr="00DD6227">
        <w:rPr>
          <w:rStyle w:val="FootnoteReference"/>
          <w:rFonts w:asciiTheme="minorHAnsi" w:eastAsiaTheme="minorEastAsia" w:hAnsiTheme="minorHAnsi" w:cstheme="minorHAnsi"/>
          <w:sz w:val="22"/>
          <w:szCs w:val="22"/>
          <w:lang w:val="en-US" w:eastAsia="en-US"/>
        </w:rPr>
        <w:footnoteReference w:id="48"/>
      </w:r>
      <w:r w:rsidRPr="00DD6227">
        <w:rPr>
          <w:rFonts w:asciiTheme="minorHAnsi" w:eastAsiaTheme="minorEastAsia" w:hAnsiTheme="minorHAnsi" w:cstheme="minorHAnsi"/>
          <w:sz w:val="22"/>
          <w:szCs w:val="22"/>
          <w:lang w:val="en-US" w:eastAsia="en-US"/>
        </w:rPr>
        <w:t xml:space="preserve"> or ‘appreciable’</w:t>
      </w:r>
      <w:r w:rsidR="001C2134" w:rsidRPr="00DD6227">
        <w:rPr>
          <w:rStyle w:val="FootnoteReference"/>
          <w:rFonts w:asciiTheme="minorHAnsi" w:eastAsiaTheme="minorEastAsia" w:hAnsiTheme="minorHAnsi" w:cstheme="minorHAnsi"/>
          <w:sz w:val="22"/>
          <w:szCs w:val="22"/>
          <w:lang w:val="en-US" w:eastAsia="en-US"/>
        </w:rPr>
        <w:footnoteReference w:id="49"/>
      </w:r>
      <w:r w:rsidRPr="00DD6227">
        <w:rPr>
          <w:rFonts w:asciiTheme="minorHAnsi" w:eastAsiaTheme="minorEastAsia" w:hAnsiTheme="minorHAnsi" w:cstheme="minorHAnsi"/>
          <w:sz w:val="22"/>
          <w:szCs w:val="22"/>
          <w:lang w:val="en-US" w:eastAsia="en-US"/>
        </w:rPr>
        <w:t xml:space="preserve"> </w:t>
      </w:r>
      <w:r w:rsidR="00C176AF" w:rsidRPr="00DD6227">
        <w:rPr>
          <w:rFonts w:asciiTheme="minorHAnsi" w:eastAsiaTheme="minorEastAsia" w:hAnsiTheme="minorHAnsi" w:cstheme="minorHAnsi"/>
          <w:sz w:val="22"/>
          <w:szCs w:val="22"/>
          <w:lang w:val="en-US" w:eastAsia="en-US"/>
        </w:rPr>
        <w:t>‘</w:t>
      </w:r>
      <w:r w:rsidRPr="00DD6227">
        <w:rPr>
          <w:rFonts w:asciiTheme="minorHAnsi" w:eastAsiaTheme="minorEastAsia" w:hAnsiTheme="minorHAnsi" w:cstheme="minorHAnsi"/>
          <w:sz w:val="22"/>
          <w:szCs w:val="22"/>
          <w:lang w:val="en-US" w:eastAsia="en-US"/>
        </w:rPr>
        <w:t>section of the community</w:t>
      </w:r>
      <w:r w:rsidR="00C176AF" w:rsidRPr="00DD6227">
        <w:rPr>
          <w:rFonts w:asciiTheme="minorHAnsi" w:eastAsiaTheme="minorEastAsia" w:hAnsiTheme="minorHAnsi" w:cstheme="minorHAnsi"/>
          <w:sz w:val="22"/>
          <w:szCs w:val="22"/>
          <w:lang w:val="en-US" w:eastAsia="en-US"/>
        </w:rPr>
        <w:t>’</w:t>
      </w:r>
      <w:r w:rsidRPr="00DD6227">
        <w:rPr>
          <w:rFonts w:asciiTheme="minorHAnsi" w:eastAsiaTheme="minorEastAsia" w:hAnsiTheme="minorHAnsi" w:cstheme="minorHAnsi"/>
          <w:sz w:val="22"/>
          <w:szCs w:val="22"/>
          <w:lang w:val="en-US" w:eastAsia="en-US"/>
        </w:rPr>
        <w:t>.</w:t>
      </w:r>
      <w:r w:rsidR="00F91C5B" w:rsidRPr="00DD6227">
        <w:rPr>
          <w:rStyle w:val="FootnoteReference"/>
          <w:rFonts w:asciiTheme="minorHAnsi" w:eastAsiaTheme="minorEastAsia" w:hAnsiTheme="minorHAnsi" w:cstheme="minorHAnsi"/>
          <w:sz w:val="22"/>
          <w:szCs w:val="22"/>
          <w:lang w:val="en-US" w:eastAsia="en-US"/>
        </w:rPr>
        <w:footnoteReference w:id="50"/>
      </w:r>
    </w:p>
    <w:p w14:paraId="2D07AD38" w14:textId="2CCBF225" w:rsidR="000A018A" w:rsidRPr="00DD6227" w:rsidRDefault="00187EAC"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A</w:t>
      </w:r>
      <w:r w:rsidR="00231227" w:rsidRPr="00DD6227">
        <w:rPr>
          <w:rFonts w:asciiTheme="minorHAnsi" w:eastAsiaTheme="minorEastAsia" w:hAnsiTheme="minorHAnsi" w:cstheme="minorHAnsi"/>
          <w:sz w:val="22"/>
          <w:szCs w:val="22"/>
          <w:lang w:val="en-US" w:eastAsia="en-US"/>
        </w:rPr>
        <w:t xml:space="preserve"> </w:t>
      </w:r>
      <w:r w:rsidR="00C56319" w:rsidRPr="00DD6227">
        <w:rPr>
          <w:rFonts w:asciiTheme="minorHAnsi" w:eastAsiaTheme="minorEastAsia" w:hAnsiTheme="minorHAnsi" w:cstheme="minorHAnsi"/>
          <w:sz w:val="22"/>
          <w:szCs w:val="22"/>
          <w:lang w:val="en-US" w:eastAsia="en-US"/>
        </w:rPr>
        <w:t>char</w:t>
      </w:r>
      <w:r w:rsidR="00231227" w:rsidRPr="00DD6227">
        <w:rPr>
          <w:rFonts w:asciiTheme="minorHAnsi" w:eastAsiaTheme="minorEastAsia" w:hAnsiTheme="minorHAnsi" w:cstheme="minorHAnsi"/>
          <w:sz w:val="22"/>
          <w:szCs w:val="22"/>
          <w:lang w:val="en-US" w:eastAsia="en-US"/>
        </w:rPr>
        <w:t xml:space="preserve">ity </w:t>
      </w:r>
      <w:r w:rsidRPr="00DD6227">
        <w:rPr>
          <w:rFonts w:asciiTheme="minorHAnsi" w:eastAsiaTheme="minorEastAsia" w:hAnsiTheme="minorHAnsi" w:cstheme="minorHAnsi"/>
          <w:sz w:val="22"/>
          <w:szCs w:val="22"/>
          <w:lang w:val="en-US" w:eastAsia="en-US"/>
        </w:rPr>
        <w:t>does not need to show that it can assist all people who</w:t>
      </w:r>
      <w:r w:rsidR="00700BED">
        <w:rPr>
          <w:rFonts w:asciiTheme="minorHAnsi" w:eastAsiaTheme="minorEastAsia" w:hAnsiTheme="minorHAnsi" w:cstheme="minorHAnsi"/>
          <w:sz w:val="22"/>
          <w:szCs w:val="22"/>
          <w:lang w:val="en-US" w:eastAsia="en-US"/>
        </w:rPr>
        <w:t xml:space="preserve"> may</w:t>
      </w:r>
      <w:r w:rsidRPr="00DD6227">
        <w:rPr>
          <w:rFonts w:asciiTheme="minorHAnsi" w:eastAsiaTheme="minorEastAsia" w:hAnsiTheme="minorHAnsi" w:cstheme="minorHAnsi"/>
          <w:sz w:val="22"/>
          <w:szCs w:val="22"/>
          <w:lang w:val="en-US" w:eastAsia="en-US"/>
        </w:rPr>
        <w:t xml:space="preserve"> </w:t>
      </w:r>
      <w:r w:rsidR="00181AB0" w:rsidRPr="00DD6227">
        <w:rPr>
          <w:rFonts w:asciiTheme="minorHAnsi" w:eastAsiaTheme="minorEastAsia" w:hAnsiTheme="minorHAnsi" w:cstheme="minorHAnsi"/>
          <w:sz w:val="22"/>
          <w:szCs w:val="22"/>
          <w:lang w:val="en-US" w:eastAsia="en-US"/>
        </w:rPr>
        <w:t xml:space="preserve">need </w:t>
      </w:r>
      <w:r w:rsidR="000527C9">
        <w:rPr>
          <w:rFonts w:asciiTheme="minorHAnsi" w:eastAsiaTheme="minorEastAsia" w:hAnsiTheme="minorHAnsi" w:cstheme="minorHAnsi"/>
          <w:sz w:val="22"/>
          <w:szCs w:val="22"/>
          <w:lang w:val="en-US" w:eastAsia="en-US"/>
        </w:rPr>
        <w:t>its</w:t>
      </w:r>
      <w:r w:rsidR="000527C9" w:rsidRPr="00DD6227">
        <w:rPr>
          <w:rFonts w:asciiTheme="minorHAnsi" w:eastAsiaTheme="minorEastAsia" w:hAnsiTheme="minorHAnsi" w:cstheme="minorHAnsi"/>
          <w:sz w:val="22"/>
          <w:szCs w:val="22"/>
          <w:lang w:val="en-US" w:eastAsia="en-US"/>
        </w:rPr>
        <w:t xml:space="preserve"> </w:t>
      </w:r>
      <w:r w:rsidR="00181AB0" w:rsidRPr="00DD6227">
        <w:rPr>
          <w:rFonts w:asciiTheme="minorHAnsi" w:eastAsiaTheme="minorEastAsia" w:hAnsiTheme="minorHAnsi" w:cstheme="minorHAnsi"/>
          <w:sz w:val="22"/>
          <w:szCs w:val="22"/>
          <w:lang w:val="en-US" w:eastAsia="en-US"/>
        </w:rPr>
        <w:t>assistance</w:t>
      </w:r>
      <w:r w:rsidRPr="00DD6227">
        <w:rPr>
          <w:rFonts w:asciiTheme="minorHAnsi" w:eastAsiaTheme="minorEastAsia" w:hAnsiTheme="minorHAnsi" w:cstheme="minorHAnsi"/>
          <w:sz w:val="22"/>
          <w:szCs w:val="22"/>
          <w:lang w:val="en-US" w:eastAsia="en-US"/>
        </w:rPr>
        <w:t xml:space="preserve"> to be regarded as ‘public’</w:t>
      </w:r>
      <w:r w:rsidR="00220576" w:rsidRPr="00DD6227">
        <w:rPr>
          <w:rFonts w:asciiTheme="minorHAnsi" w:eastAsiaTheme="minorEastAsia" w:hAnsiTheme="minorHAnsi" w:cstheme="minorHAnsi"/>
          <w:sz w:val="22"/>
          <w:szCs w:val="22"/>
          <w:lang w:val="en-US" w:eastAsia="en-US"/>
        </w:rPr>
        <w:t>.</w:t>
      </w:r>
      <w:r w:rsidR="00C662CE" w:rsidRPr="00DD6227">
        <w:rPr>
          <w:rStyle w:val="FootnoteReference"/>
          <w:rFonts w:asciiTheme="minorHAnsi" w:eastAsiaTheme="minorEastAsia" w:hAnsiTheme="minorHAnsi" w:cstheme="minorHAnsi"/>
          <w:sz w:val="22"/>
          <w:szCs w:val="22"/>
          <w:lang w:val="en-US" w:eastAsia="en-US"/>
        </w:rPr>
        <w:footnoteReference w:id="51"/>
      </w:r>
      <w:r w:rsidR="00220576" w:rsidRPr="00DD6227">
        <w:rPr>
          <w:rFonts w:asciiTheme="minorHAnsi" w:eastAsiaTheme="minorEastAsia" w:hAnsiTheme="minorHAnsi" w:cstheme="minorHAnsi"/>
          <w:sz w:val="22"/>
          <w:szCs w:val="22"/>
          <w:lang w:val="en-US" w:eastAsia="en-US"/>
        </w:rPr>
        <w:t xml:space="preserve"> But</w:t>
      </w:r>
      <w:r w:rsidR="00527C25">
        <w:rPr>
          <w:rFonts w:asciiTheme="minorHAnsi" w:eastAsiaTheme="minorEastAsia" w:hAnsiTheme="minorHAnsi" w:cstheme="minorHAnsi"/>
          <w:sz w:val="22"/>
          <w:szCs w:val="22"/>
          <w:lang w:val="en-US" w:eastAsia="en-US"/>
        </w:rPr>
        <w:t xml:space="preserve">, if </w:t>
      </w:r>
      <w:r w:rsidR="00777CA8">
        <w:rPr>
          <w:rFonts w:asciiTheme="minorHAnsi" w:eastAsiaTheme="minorEastAsia" w:hAnsiTheme="minorHAnsi" w:cstheme="minorHAnsi"/>
          <w:sz w:val="22"/>
          <w:szCs w:val="22"/>
          <w:lang w:val="en-US" w:eastAsia="en-US"/>
        </w:rPr>
        <w:t>it</w:t>
      </w:r>
      <w:r w:rsidR="00220576" w:rsidRPr="00DD6227">
        <w:rPr>
          <w:rFonts w:asciiTheme="minorHAnsi" w:eastAsiaTheme="minorEastAsia" w:hAnsiTheme="minorHAnsi" w:cstheme="minorHAnsi"/>
          <w:sz w:val="22"/>
          <w:szCs w:val="22"/>
          <w:lang w:val="en-US" w:eastAsia="en-US"/>
        </w:rPr>
        <w:t xml:space="preserve"> </w:t>
      </w:r>
      <w:r w:rsidR="00B240A3" w:rsidRPr="00DD6227">
        <w:rPr>
          <w:rFonts w:asciiTheme="minorHAnsi" w:eastAsiaTheme="minorEastAsia" w:hAnsiTheme="minorHAnsi" w:cstheme="minorHAnsi"/>
          <w:sz w:val="22"/>
          <w:szCs w:val="22"/>
          <w:lang w:val="en-US" w:eastAsia="en-US"/>
        </w:rPr>
        <w:t xml:space="preserve">uses </w:t>
      </w:r>
      <w:r w:rsidR="00A22992" w:rsidRPr="00DD6227">
        <w:rPr>
          <w:rFonts w:asciiTheme="minorHAnsi" w:eastAsiaTheme="minorEastAsia" w:hAnsiTheme="minorHAnsi" w:cstheme="minorHAnsi"/>
          <w:sz w:val="22"/>
          <w:szCs w:val="22"/>
          <w:lang w:val="en-US" w:eastAsia="en-US"/>
        </w:rPr>
        <w:t xml:space="preserve">criteria </w:t>
      </w:r>
      <w:r w:rsidR="00236389" w:rsidRPr="00DD6227">
        <w:rPr>
          <w:rFonts w:asciiTheme="minorHAnsi" w:eastAsiaTheme="minorEastAsia" w:hAnsiTheme="minorHAnsi" w:cstheme="minorHAnsi"/>
          <w:sz w:val="22"/>
          <w:szCs w:val="22"/>
          <w:lang w:val="en-US" w:eastAsia="en-US"/>
        </w:rPr>
        <w:t xml:space="preserve">unrelated to </w:t>
      </w:r>
      <w:r w:rsidR="00220576" w:rsidRPr="00DD6227">
        <w:rPr>
          <w:rFonts w:asciiTheme="minorHAnsi" w:eastAsiaTheme="minorEastAsia" w:hAnsiTheme="minorHAnsi" w:cstheme="minorHAnsi"/>
          <w:sz w:val="22"/>
          <w:szCs w:val="22"/>
          <w:lang w:val="en-US" w:eastAsia="en-US"/>
        </w:rPr>
        <w:t>the</w:t>
      </w:r>
      <w:r w:rsidR="003529C7" w:rsidRPr="00DD6227">
        <w:rPr>
          <w:rFonts w:asciiTheme="minorHAnsi" w:eastAsiaTheme="minorEastAsia" w:hAnsiTheme="minorHAnsi" w:cstheme="minorHAnsi"/>
          <w:sz w:val="22"/>
          <w:szCs w:val="22"/>
          <w:lang w:val="en-US" w:eastAsia="en-US"/>
        </w:rPr>
        <w:t xml:space="preserve"> </w:t>
      </w:r>
      <w:r w:rsidR="001E4EA1">
        <w:rPr>
          <w:rFonts w:asciiTheme="minorHAnsi" w:eastAsiaTheme="minorEastAsia" w:hAnsiTheme="minorHAnsi" w:cstheme="minorHAnsi"/>
          <w:sz w:val="22"/>
          <w:szCs w:val="22"/>
          <w:lang w:val="en-US" w:eastAsia="en-US"/>
        </w:rPr>
        <w:t xml:space="preserve">needs of its </w:t>
      </w:r>
      <w:r w:rsidR="003529C7" w:rsidRPr="00DD6227">
        <w:rPr>
          <w:rFonts w:asciiTheme="minorHAnsi" w:eastAsiaTheme="minorEastAsia" w:hAnsiTheme="minorHAnsi" w:cstheme="minorHAnsi"/>
          <w:sz w:val="22"/>
          <w:szCs w:val="22"/>
          <w:lang w:val="en-US" w:eastAsia="en-US"/>
        </w:rPr>
        <w:t>beneficiar</w:t>
      </w:r>
      <w:r w:rsidR="00A54400">
        <w:rPr>
          <w:rFonts w:asciiTheme="minorHAnsi" w:eastAsiaTheme="minorEastAsia" w:hAnsiTheme="minorHAnsi" w:cstheme="minorHAnsi"/>
          <w:sz w:val="22"/>
          <w:szCs w:val="22"/>
          <w:lang w:val="en-US" w:eastAsia="en-US"/>
        </w:rPr>
        <w:t>ies</w:t>
      </w:r>
      <w:r w:rsidR="00220576" w:rsidRPr="00DD6227">
        <w:rPr>
          <w:rFonts w:asciiTheme="minorHAnsi" w:eastAsiaTheme="minorEastAsia" w:hAnsiTheme="minorHAnsi" w:cstheme="minorHAnsi"/>
          <w:sz w:val="22"/>
          <w:szCs w:val="22"/>
          <w:lang w:val="en-US" w:eastAsia="en-US"/>
        </w:rPr>
        <w:t xml:space="preserve"> and </w:t>
      </w:r>
      <w:r w:rsidR="0086581C">
        <w:rPr>
          <w:rFonts w:asciiTheme="minorHAnsi" w:eastAsiaTheme="minorEastAsia" w:hAnsiTheme="minorHAnsi" w:cstheme="minorHAnsi"/>
          <w:sz w:val="22"/>
          <w:szCs w:val="22"/>
          <w:lang w:val="en-US" w:eastAsia="en-US"/>
        </w:rPr>
        <w:t>it</w:t>
      </w:r>
      <w:r w:rsidR="00220576" w:rsidRPr="00DD6227">
        <w:rPr>
          <w:rFonts w:asciiTheme="minorHAnsi" w:eastAsiaTheme="minorEastAsia" w:hAnsiTheme="minorHAnsi" w:cstheme="minorHAnsi"/>
          <w:sz w:val="22"/>
          <w:szCs w:val="22"/>
          <w:lang w:val="en-US" w:eastAsia="en-US"/>
        </w:rPr>
        <w:t xml:space="preserve">s capacity to </w:t>
      </w:r>
      <w:proofErr w:type="gramStart"/>
      <w:r w:rsidR="00220576" w:rsidRPr="00DD6227">
        <w:rPr>
          <w:rFonts w:asciiTheme="minorHAnsi" w:eastAsiaTheme="minorEastAsia" w:hAnsiTheme="minorHAnsi" w:cstheme="minorHAnsi"/>
          <w:sz w:val="22"/>
          <w:szCs w:val="22"/>
          <w:lang w:val="en-US" w:eastAsia="en-US"/>
        </w:rPr>
        <w:t>provide assistance</w:t>
      </w:r>
      <w:proofErr w:type="gramEnd"/>
      <w:r w:rsidR="00A22992" w:rsidRPr="00DD6227">
        <w:rPr>
          <w:rFonts w:asciiTheme="minorHAnsi" w:eastAsiaTheme="minorEastAsia" w:hAnsiTheme="minorHAnsi" w:cstheme="minorHAnsi"/>
          <w:sz w:val="22"/>
          <w:szCs w:val="22"/>
          <w:lang w:val="en-US" w:eastAsia="en-US"/>
        </w:rPr>
        <w:t xml:space="preserve"> </w:t>
      </w:r>
      <w:r w:rsidR="00991228" w:rsidRPr="00DD6227">
        <w:rPr>
          <w:rFonts w:asciiTheme="minorHAnsi" w:eastAsiaTheme="minorEastAsia" w:hAnsiTheme="minorHAnsi" w:cstheme="minorHAnsi"/>
          <w:sz w:val="22"/>
          <w:szCs w:val="22"/>
          <w:lang w:val="en-US" w:eastAsia="en-US"/>
        </w:rPr>
        <w:t>when</w:t>
      </w:r>
      <w:r w:rsidR="00C71D2A" w:rsidRPr="00DD6227">
        <w:rPr>
          <w:rFonts w:asciiTheme="minorHAnsi" w:eastAsiaTheme="minorEastAsia" w:hAnsiTheme="minorHAnsi" w:cstheme="minorHAnsi"/>
          <w:sz w:val="22"/>
          <w:szCs w:val="22"/>
          <w:lang w:val="en-US" w:eastAsia="en-US"/>
        </w:rPr>
        <w:t xml:space="preserve"> decid</w:t>
      </w:r>
      <w:r w:rsidR="00991228" w:rsidRPr="00DD6227">
        <w:rPr>
          <w:rFonts w:asciiTheme="minorHAnsi" w:eastAsiaTheme="minorEastAsia" w:hAnsiTheme="minorHAnsi" w:cstheme="minorHAnsi"/>
          <w:sz w:val="22"/>
          <w:szCs w:val="22"/>
          <w:lang w:val="en-US" w:eastAsia="en-US"/>
        </w:rPr>
        <w:t>ing</w:t>
      </w:r>
      <w:r w:rsidR="00A22992" w:rsidRPr="00DD6227">
        <w:rPr>
          <w:rFonts w:asciiTheme="minorHAnsi" w:eastAsiaTheme="minorEastAsia" w:hAnsiTheme="minorHAnsi" w:cstheme="minorHAnsi"/>
          <w:sz w:val="22"/>
          <w:szCs w:val="22"/>
          <w:lang w:val="en-US" w:eastAsia="en-US"/>
        </w:rPr>
        <w:t xml:space="preserve"> who </w:t>
      </w:r>
      <w:r w:rsidR="00836F33">
        <w:rPr>
          <w:rFonts w:asciiTheme="minorHAnsi" w:eastAsiaTheme="minorEastAsia" w:hAnsiTheme="minorHAnsi" w:cstheme="minorHAnsi"/>
          <w:sz w:val="22"/>
          <w:szCs w:val="22"/>
          <w:lang w:val="en-US" w:eastAsia="en-US"/>
        </w:rPr>
        <w:t>to</w:t>
      </w:r>
      <w:r w:rsidR="00A22992" w:rsidRPr="00DD6227">
        <w:rPr>
          <w:rFonts w:asciiTheme="minorHAnsi" w:eastAsiaTheme="minorEastAsia" w:hAnsiTheme="minorHAnsi" w:cstheme="minorHAnsi"/>
          <w:sz w:val="22"/>
          <w:szCs w:val="22"/>
          <w:lang w:val="en-US" w:eastAsia="en-US"/>
        </w:rPr>
        <w:t xml:space="preserve"> assist</w:t>
      </w:r>
      <w:r w:rsidR="00220576" w:rsidRPr="00DD6227">
        <w:rPr>
          <w:rFonts w:asciiTheme="minorHAnsi" w:eastAsiaTheme="minorEastAsia" w:hAnsiTheme="minorHAnsi" w:cstheme="minorHAnsi"/>
          <w:sz w:val="22"/>
          <w:szCs w:val="22"/>
          <w:lang w:val="en-US" w:eastAsia="en-US"/>
        </w:rPr>
        <w:t xml:space="preserve">, </w:t>
      </w:r>
      <w:r w:rsidR="00527C25">
        <w:rPr>
          <w:rFonts w:asciiTheme="minorHAnsi" w:eastAsiaTheme="minorEastAsia" w:hAnsiTheme="minorHAnsi" w:cstheme="minorHAnsi"/>
          <w:sz w:val="22"/>
          <w:szCs w:val="22"/>
          <w:lang w:val="en-US" w:eastAsia="en-US"/>
        </w:rPr>
        <w:t xml:space="preserve">it </w:t>
      </w:r>
      <w:r w:rsidR="00220576" w:rsidRPr="00DD6227">
        <w:rPr>
          <w:rFonts w:asciiTheme="minorHAnsi" w:eastAsiaTheme="minorEastAsia" w:hAnsiTheme="minorHAnsi" w:cstheme="minorHAnsi"/>
          <w:sz w:val="22"/>
          <w:szCs w:val="22"/>
          <w:lang w:val="en-US" w:eastAsia="en-US"/>
        </w:rPr>
        <w:t>is unlikely to be ‘public’</w:t>
      </w:r>
      <w:r w:rsidR="00C56319" w:rsidRPr="00DD6227">
        <w:rPr>
          <w:rFonts w:asciiTheme="minorHAnsi" w:eastAsiaTheme="minorEastAsia" w:hAnsiTheme="minorHAnsi" w:cstheme="minorHAnsi"/>
          <w:sz w:val="22"/>
          <w:szCs w:val="22"/>
          <w:lang w:val="en-US" w:eastAsia="en-US"/>
        </w:rPr>
        <w:t xml:space="preserve"> in the required sense</w:t>
      </w:r>
      <w:r w:rsidR="00C82C37">
        <w:rPr>
          <w:rFonts w:asciiTheme="minorHAnsi" w:eastAsiaTheme="minorEastAsia" w:hAnsiTheme="minorHAnsi" w:cstheme="minorHAnsi"/>
          <w:sz w:val="22"/>
          <w:szCs w:val="22"/>
          <w:lang w:val="en-US" w:eastAsia="en-US"/>
        </w:rPr>
        <w:t xml:space="preserve">. </w:t>
      </w:r>
      <w:r w:rsidR="00147C01">
        <w:rPr>
          <w:rFonts w:asciiTheme="minorHAnsi" w:eastAsiaTheme="minorEastAsia" w:hAnsiTheme="minorHAnsi" w:cstheme="minorHAnsi"/>
          <w:sz w:val="22"/>
          <w:szCs w:val="22"/>
          <w:lang w:val="en-US" w:eastAsia="en-US"/>
        </w:rPr>
        <w:t>Doing so is</w:t>
      </w:r>
      <w:r w:rsidR="00E139C5" w:rsidRPr="00DD6227">
        <w:rPr>
          <w:rFonts w:asciiTheme="minorHAnsi" w:eastAsiaTheme="minorEastAsia" w:hAnsiTheme="minorHAnsi" w:cstheme="minorHAnsi"/>
          <w:sz w:val="22"/>
          <w:szCs w:val="22"/>
          <w:lang w:val="en-US" w:eastAsia="en-US"/>
        </w:rPr>
        <w:t xml:space="preserve"> assisting a ‘private’ group of individuals, rather than a section of the community</w:t>
      </w:r>
      <w:r w:rsidR="00220576" w:rsidRPr="00DD6227">
        <w:rPr>
          <w:rFonts w:asciiTheme="minorHAnsi" w:eastAsiaTheme="minorEastAsia" w:hAnsiTheme="minorHAnsi" w:cstheme="minorHAnsi"/>
          <w:sz w:val="22"/>
          <w:szCs w:val="22"/>
          <w:lang w:val="en-US" w:eastAsia="en-US"/>
        </w:rPr>
        <w:t>.</w:t>
      </w:r>
      <w:r w:rsidR="006C78D5" w:rsidRPr="00DD6227">
        <w:rPr>
          <w:rStyle w:val="FootnoteReference"/>
          <w:rFonts w:asciiTheme="minorHAnsi" w:eastAsiaTheme="minorEastAsia" w:hAnsiTheme="minorHAnsi" w:cstheme="minorHAnsi"/>
          <w:sz w:val="22"/>
          <w:szCs w:val="22"/>
          <w:lang w:val="en-US" w:eastAsia="en-US"/>
        </w:rPr>
        <w:footnoteReference w:id="52"/>
      </w:r>
    </w:p>
    <w:p w14:paraId="5216AC10" w14:textId="760C47CF" w:rsidR="00BA16B6" w:rsidRPr="00DD6227" w:rsidRDefault="00DC4BBE"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T</w:t>
      </w:r>
      <w:r w:rsidR="00771B56" w:rsidRPr="00DD6227">
        <w:rPr>
          <w:rFonts w:asciiTheme="minorHAnsi" w:eastAsiaTheme="minorEastAsia" w:hAnsiTheme="minorHAnsi" w:cstheme="minorHAnsi"/>
          <w:sz w:val="22"/>
          <w:szCs w:val="22"/>
          <w:lang w:val="en-US" w:eastAsia="en-US"/>
        </w:rPr>
        <w:t>wo court decisions provide useful</w:t>
      </w:r>
      <w:r w:rsidR="00952004" w:rsidRPr="00DD6227">
        <w:rPr>
          <w:rFonts w:asciiTheme="minorHAnsi" w:eastAsiaTheme="minorEastAsia" w:hAnsiTheme="minorHAnsi" w:cstheme="minorHAnsi"/>
          <w:sz w:val="22"/>
          <w:szCs w:val="22"/>
          <w:lang w:val="en-US" w:eastAsia="en-US"/>
        </w:rPr>
        <w:t xml:space="preserve"> example</w:t>
      </w:r>
      <w:r w:rsidR="00313D4C">
        <w:rPr>
          <w:rFonts w:asciiTheme="minorHAnsi" w:eastAsiaTheme="minorEastAsia" w:hAnsiTheme="minorHAnsi" w:cstheme="minorHAnsi"/>
          <w:sz w:val="22"/>
          <w:szCs w:val="22"/>
          <w:lang w:val="en-US" w:eastAsia="en-US"/>
        </w:rPr>
        <w:t>s</w:t>
      </w:r>
      <w:r w:rsidR="00952004" w:rsidRPr="00DD6227">
        <w:rPr>
          <w:rFonts w:asciiTheme="minorHAnsi" w:eastAsiaTheme="minorEastAsia" w:hAnsiTheme="minorHAnsi" w:cstheme="minorHAnsi"/>
          <w:sz w:val="22"/>
          <w:szCs w:val="22"/>
          <w:lang w:val="en-US" w:eastAsia="en-US"/>
        </w:rPr>
        <w:t xml:space="preserve"> of how this principle applies in practice. </w:t>
      </w:r>
    </w:p>
    <w:p w14:paraId="1AE022B5" w14:textId="60EFBFD9" w:rsidR="00BA16B6" w:rsidRPr="00DD6227" w:rsidRDefault="00952004"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In </w:t>
      </w:r>
      <w:proofErr w:type="spellStart"/>
      <w:r w:rsidRPr="00DD6227">
        <w:rPr>
          <w:rFonts w:asciiTheme="minorHAnsi" w:eastAsiaTheme="minorEastAsia" w:hAnsiTheme="minorHAnsi" w:cstheme="minorHAnsi"/>
          <w:i/>
          <w:iCs/>
          <w:sz w:val="22"/>
          <w:szCs w:val="22"/>
          <w:lang w:val="en-US" w:eastAsia="en-US"/>
        </w:rPr>
        <w:t>Lemm</w:t>
      </w:r>
      <w:proofErr w:type="spellEnd"/>
      <w:r w:rsidRPr="00DD6227">
        <w:rPr>
          <w:rFonts w:asciiTheme="minorHAnsi" w:eastAsiaTheme="minorEastAsia" w:hAnsiTheme="minorHAnsi" w:cstheme="minorHAnsi"/>
          <w:i/>
          <w:iCs/>
          <w:sz w:val="22"/>
          <w:szCs w:val="22"/>
          <w:lang w:val="en-US" w:eastAsia="en-US"/>
        </w:rPr>
        <w:t xml:space="preserve"> v Federal Commissioner of Taxation</w:t>
      </w:r>
      <w:r w:rsidRPr="00DD6227">
        <w:rPr>
          <w:rFonts w:asciiTheme="minorHAnsi" w:eastAsiaTheme="minorEastAsia" w:hAnsiTheme="minorHAnsi" w:cstheme="minorHAnsi"/>
          <w:sz w:val="22"/>
          <w:szCs w:val="22"/>
          <w:lang w:val="en-US" w:eastAsia="en-US"/>
        </w:rPr>
        <w:t>,</w:t>
      </w:r>
      <w:r w:rsidR="00CD7064" w:rsidRPr="00DD6227">
        <w:rPr>
          <w:rFonts w:asciiTheme="minorHAnsi" w:eastAsiaTheme="minorEastAsia" w:hAnsiTheme="minorHAnsi" w:cstheme="minorHAnsi"/>
          <w:sz w:val="22"/>
          <w:szCs w:val="22"/>
          <w:lang w:val="en-US" w:eastAsia="en-US"/>
        </w:rPr>
        <w:t xml:space="preserve"> the High Court</w:t>
      </w:r>
      <w:r w:rsidR="00F14994" w:rsidRPr="00DD6227">
        <w:rPr>
          <w:rFonts w:asciiTheme="minorHAnsi" w:eastAsiaTheme="minorEastAsia" w:hAnsiTheme="minorHAnsi" w:cstheme="minorHAnsi"/>
          <w:sz w:val="22"/>
          <w:szCs w:val="22"/>
          <w:lang w:val="en-US" w:eastAsia="en-US"/>
        </w:rPr>
        <w:t xml:space="preserve"> of Australia</w:t>
      </w:r>
      <w:r w:rsidR="00CD7064" w:rsidRPr="00DD6227">
        <w:rPr>
          <w:rFonts w:asciiTheme="minorHAnsi" w:eastAsiaTheme="minorEastAsia" w:hAnsiTheme="minorHAnsi" w:cstheme="minorHAnsi"/>
          <w:sz w:val="22"/>
          <w:szCs w:val="22"/>
          <w:lang w:val="en-US" w:eastAsia="en-US"/>
        </w:rPr>
        <w:t xml:space="preserve"> </w:t>
      </w:r>
      <w:r w:rsidR="00AE66AD" w:rsidRPr="00DD6227">
        <w:rPr>
          <w:rFonts w:asciiTheme="minorHAnsi" w:eastAsiaTheme="minorEastAsia" w:hAnsiTheme="minorHAnsi" w:cstheme="minorHAnsi"/>
          <w:sz w:val="22"/>
          <w:szCs w:val="22"/>
          <w:lang w:val="en-US" w:eastAsia="en-US"/>
        </w:rPr>
        <w:t>accepted</w:t>
      </w:r>
      <w:r w:rsidR="00CD7064" w:rsidRPr="00DD6227">
        <w:rPr>
          <w:rFonts w:asciiTheme="minorHAnsi" w:eastAsiaTheme="minorEastAsia" w:hAnsiTheme="minorHAnsi" w:cstheme="minorHAnsi"/>
          <w:sz w:val="22"/>
          <w:szCs w:val="22"/>
          <w:lang w:val="en-US" w:eastAsia="en-US"/>
        </w:rPr>
        <w:t xml:space="preserve"> that the</w:t>
      </w:r>
      <w:r w:rsidR="00E6200C" w:rsidRPr="00DD6227">
        <w:rPr>
          <w:rFonts w:asciiTheme="minorHAnsi" w:eastAsiaTheme="minorEastAsia" w:hAnsiTheme="minorHAnsi" w:cstheme="minorHAnsi"/>
          <w:sz w:val="22"/>
          <w:szCs w:val="22"/>
          <w:lang w:val="en-US" w:eastAsia="en-US"/>
        </w:rPr>
        <w:t xml:space="preserve"> ‘Eva Patience Wood and George Pitt Wood Memorial Home’ was a PBI.</w:t>
      </w:r>
      <w:r w:rsidR="00B248AD">
        <w:rPr>
          <w:rStyle w:val="FootnoteReference"/>
          <w:rFonts w:asciiTheme="minorHAnsi" w:eastAsiaTheme="minorEastAsia" w:hAnsiTheme="minorHAnsi" w:cstheme="minorHAnsi"/>
          <w:sz w:val="22"/>
          <w:szCs w:val="22"/>
          <w:lang w:val="en-US" w:eastAsia="en-US"/>
        </w:rPr>
        <w:footnoteReference w:id="53"/>
      </w:r>
      <w:r w:rsidR="00E6200C" w:rsidRPr="00DD6227">
        <w:rPr>
          <w:rFonts w:asciiTheme="minorHAnsi" w:eastAsiaTheme="minorEastAsia" w:hAnsiTheme="minorHAnsi" w:cstheme="minorHAnsi"/>
          <w:sz w:val="22"/>
          <w:szCs w:val="22"/>
          <w:lang w:val="en-US" w:eastAsia="en-US"/>
        </w:rPr>
        <w:t xml:space="preserve"> The purpose of </w:t>
      </w:r>
      <w:r w:rsidR="00AE66AD" w:rsidRPr="00DD6227">
        <w:rPr>
          <w:rFonts w:asciiTheme="minorHAnsi" w:eastAsiaTheme="minorEastAsia" w:hAnsiTheme="minorHAnsi" w:cstheme="minorHAnsi"/>
          <w:sz w:val="22"/>
          <w:szCs w:val="22"/>
          <w:lang w:val="en-US" w:eastAsia="en-US"/>
        </w:rPr>
        <w:t>the Memorial Home</w:t>
      </w:r>
      <w:r w:rsidR="00E6200C" w:rsidRPr="00DD6227">
        <w:rPr>
          <w:rFonts w:asciiTheme="minorHAnsi" w:eastAsiaTheme="minorEastAsia" w:hAnsiTheme="minorHAnsi" w:cstheme="minorHAnsi"/>
          <w:sz w:val="22"/>
          <w:szCs w:val="22"/>
          <w:lang w:val="en-US" w:eastAsia="en-US"/>
        </w:rPr>
        <w:t xml:space="preserve"> was to hous</w:t>
      </w:r>
      <w:r w:rsidR="00C92CAB" w:rsidRPr="00DD6227">
        <w:rPr>
          <w:rFonts w:asciiTheme="minorHAnsi" w:eastAsiaTheme="minorEastAsia" w:hAnsiTheme="minorHAnsi" w:cstheme="minorHAnsi"/>
          <w:sz w:val="22"/>
          <w:szCs w:val="22"/>
          <w:lang w:val="en-US" w:eastAsia="en-US"/>
        </w:rPr>
        <w:t>e</w:t>
      </w:r>
      <w:r w:rsidR="00E6200C" w:rsidRPr="00DD6227">
        <w:rPr>
          <w:rFonts w:asciiTheme="minorHAnsi" w:eastAsiaTheme="minorEastAsia" w:hAnsiTheme="minorHAnsi" w:cstheme="minorHAnsi"/>
          <w:sz w:val="22"/>
          <w:szCs w:val="22"/>
          <w:lang w:val="en-US" w:eastAsia="en-US"/>
        </w:rPr>
        <w:t xml:space="preserve"> aged women </w:t>
      </w:r>
      <w:r w:rsidR="00F2017F" w:rsidRPr="00DD6227">
        <w:rPr>
          <w:rFonts w:asciiTheme="minorHAnsi" w:eastAsiaTheme="minorEastAsia" w:hAnsiTheme="minorHAnsi" w:cstheme="minorHAnsi"/>
          <w:sz w:val="22"/>
          <w:szCs w:val="22"/>
          <w:lang w:val="en-US" w:eastAsia="en-US"/>
        </w:rPr>
        <w:t xml:space="preserve">in ‘straitened circumstances’ (meaning </w:t>
      </w:r>
      <w:r w:rsidR="00F14994" w:rsidRPr="00DD6227">
        <w:rPr>
          <w:rFonts w:asciiTheme="minorHAnsi" w:eastAsiaTheme="minorEastAsia" w:hAnsiTheme="minorHAnsi" w:cstheme="minorHAnsi"/>
          <w:sz w:val="22"/>
          <w:szCs w:val="22"/>
          <w:lang w:val="en-US" w:eastAsia="en-US"/>
        </w:rPr>
        <w:t xml:space="preserve">that </w:t>
      </w:r>
      <w:r w:rsidR="00F2017F" w:rsidRPr="00DD6227">
        <w:rPr>
          <w:rFonts w:asciiTheme="minorHAnsi" w:eastAsiaTheme="minorEastAsia" w:hAnsiTheme="minorHAnsi" w:cstheme="minorHAnsi"/>
          <w:sz w:val="22"/>
          <w:szCs w:val="22"/>
          <w:lang w:val="en-US" w:eastAsia="en-US"/>
        </w:rPr>
        <w:t>they were in poverty</w:t>
      </w:r>
      <w:r w:rsidR="00F14994" w:rsidRPr="00DD6227">
        <w:rPr>
          <w:rFonts w:asciiTheme="minorHAnsi" w:eastAsiaTheme="minorEastAsia" w:hAnsiTheme="minorHAnsi" w:cstheme="minorHAnsi"/>
          <w:sz w:val="22"/>
          <w:szCs w:val="22"/>
          <w:lang w:val="en-US" w:eastAsia="en-US"/>
        </w:rPr>
        <w:t>, although not necessarily destitute</w:t>
      </w:r>
      <w:r w:rsidR="00F2017F" w:rsidRPr="00DD6227">
        <w:rPr>
          <w:rFonts w:asciiTheme="minorHAnsi" w:eastAsiaTheme="minorEastAsia" w:hAnsiTheme="minorHAnsi" w:cstheme="minorHAnsi"/>
          <w:sz w:val="22"/>
          <w:szCs w:val="22"/>
          <w:lang w:val="en-US" w:eastAsia="en-US"/>
        </w:rPr>
        <w:t>).</w:t>
      </w:r>
      <w:r w:rsidR="002524FF" w:rsidRPr="00DD6227">
        <w:rPr>
          <w:rStyle w:val="FootnoteReference"/>
          <w:rFonts w:asciiTheme="minorHAnsi" w:eastAsiaTheme="minorEastAsia" w:hAnsiTheme="minorHAnsi" w:cstheme="minorHAnsi"/>
          <w:sz w:val="22"/>
          <w:szCs w:val="22"/>
          <w:lang w:val="en-US" w:eastAsia="en-US"/>
        </w:rPr>
        <w:footnoteReference w:id="54"/>
      </w:r>
      <w:r w:rsidR="00A17F82" w:rsidRPr="00DD6227">
        <w:rPr>
          <w:rFonts w:asciiTheme="minorHAnsi" w:eastAsiaTheme="minorEastAsia" w:hAnsiTheme="minorHAnsi" w:cstheme="minorHAnsi"/>
          <w:sz w:val="22"/>
          <w:szCs w:val="22"/>
          <w:lang w:val="en-US" w:eastAsia="en-US"/>
        </w:rPr>
        <w:t xml:space="preserve"> Each woman paid 1 pound per week towards the cost of the housing. The</w:t>
      </w:r>
      <w:r w:rsidR="000B319B" w:rsidRPr="00DD6227">
        <w:rPr>
          <w:rFonts w:asciiTheme="minorHAnsi" w:eastAsiaTheme="minorEastAsia" w:hAnsiTheme="minorHAnsi" w:cstheme="minorHAnsi"/>
          <w:sz w:val="22"/>
          <w:szCs w:val="22"/>
          <w:lang w:val="en-US" w:eastAsia="en-US"/>
        </w:rPr>
        <w:t xml:space="preserve"> Memorial Home</w:t>
      </w:r>
      <w:r w:rsidR="00A17F82" w:rsidRPr="00DD6227">
        <w:rPr>
          <w:rFonts w:asciiTheme="minorHAnsi" w:eastAsiaTheme="minorEastAsia" w:hAnsiTheme="minorHAnsi" w:cstheme="minorHAnsi"/>
          <w:sz w:val="22"/>
          <w:szCs w:val="22"/>
          <w:lang w:val="en-US" w:eastAsia="en-US"/>
        </w:rPr>
        <w:t xml:space="preserve"> house</w:t>
      </w:r>
      <w:r w:rsidR="00C92CAB" w:rsidRPr="00DD6227">
        <w:rPr>
          <w:rFonts w:asciiTheme="minorHAnsi" w:eastAsiaTheme="minorEastAsia" w:hAnsiTheme="minorHAnsi" w:cstheme="minorHAnsi"/>
          <w:sz w:val="22"/>
          <w:szCs w:val="22"/>
          <w:lang w:val="en-US" w:eastAsia="en-US"/>
        </w:rPr>
        <w:t>d</w:t>
      </w:r>
      <w:r w:rsidR="00A17F82" w:rsidRPr="00DD6227">
        <w:rPr>
          <w:rFonts w:asciiTheme="minorHAnsi" w:eastAsiaTheme="minorEastAsia" w:hAnsiTheme="minorHAnsi" w:cstheme="minorHAnsi"/>
          <w:sz w:val="22"/>
          <w:szCs w:val="22"/>
          <w:lang w:val="en-US" w:eastAsia="en-US"/>
        </w:rPr>
        <w:t xml:space="preserve"> 26 women.</w:t>
      </w:r>
      <w:r w:rsidR="00E618CF" w:rsidRPr="00DD6227">
        <w:rPr>
          <w:rFonts w:asciiTheme="minorHAnsi" w:eastAsiaTheme="minorEastAsia" w:hAnsiTheme="minorHAnsi" w:cstheme="minorHAnsi"/>
          <w:sz w:val="22"/>
          <w:szCs w:val="22"/>
          <w:lang w:val="en-US" w:eastAsia="en-US"/>
        </w:rPr>
        <w:t xml:space="preserve"> </w:t>
      </w:r>
    </w:p>
    <w:p w14:paraId="11B0D965" w14:textId="1D6BB34F" w:rsidR="00EC443B" w:rsidRPr="00DD6227" w:rsidRDefault="00E618CF"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The Court accepted that </w:t>
      </w:r>
      <w:r w:rsidR="00431AF4" w:rsidRPr="00DD6227">
        <w:rPr>
          <w:rFonts w:asciiTheme="minorHAnsi" w:eastAsiaTheme="minorEastAsia" w:hAnsiTheme="minorHAnsi" w:cstheme="minorHAnsi"/>
          <w:sz w:val="22"/>
          <w:szCs w:val="22"/>
          <w:lang w:val="en-US" w:eastAsia="en-US"/>
        </w:rPr>
        <w:t>aged women who were in poverty were ‘an appreciable needy class in the community</w:t>
      </w:r>
      <w:r w:rsidR="000B5048" w:rsidRPr="00DD6227">
        <w:rPr>
          <w:rFonts w:asciiTheme="minorHAnsi" w:eastAsiaTheme="minorEastAsia" w:hAnsiTheme="minorHAnsi" w:cstheme="minorHAnsi"/>
          <w:sz w:val="22"/>
          <w:szCs w:val="22"/>
          <w:lang w:val="en-US" w:eastAsia="en-US"/>
        </w:rPr>
        <w:t>’</w:t>
      </w:r>
      <w:r w:rsidR="00EE7674" w:rsidRPr="00DD6227">
        <w:rPr>
          <w:rFonts w:asciiTheme="minorHAnsi" w:eastAsiaTheme="minorEastAsia" w:hAnsiTheme="minorHAnsi" w:cstheme="minorHAnsi"/>
          <w:sz w:val="22"/>
          <w:szCs w:val="22"/>
          <w:lang w:val="en-US" w:eastAsia="en-US"/>
        </w:rPr>
        <w:t>.</w:t>
      </w:r>
      <w:r w:rsidR="00EE7674" w:rsidRPr="00DD6227">
        <w:rPr>
          <w:rStyle w:val="FootnoteReference"/>
          <w:rFonts w:asciiTheme="minorHAnsi" w:eastAsiaTheme="minorEastAsia" w:hAnsiTheme="minorHAnsi" w:cstheme="minorHAnsi"/>
          <w:sz w:val="22"/>
          <w:szCs w:val="22"/>
          <w:lang w:val="en-US" w:eastAsia="en-US"/>
        </w:rPr>
        <w:footnoteReference w:id="55"/>
      </w:r>
      <w:r w:rsidR="00F825A1" w:rsidRPr="00DD6227">
        <w:rPr>
          <w:rFonts w:asciiTheme="minorHAnsi" w:eastAsiaTheme="minorEastAsia" w:hAnsiTheme="minorHAnsi" w:cstheme="minorHAnsi"/>
          <w:sz w:val="22"/>
          <w:szCs w:val="22"/>
          <w:lang w:val="en-US" w:eastAsia="en-US"/>
        </w:rPr>
        <w:t xml:space="preserve"> The fact that only 26 women could be housed at any one time did not prevent the Memorial Home from being ‘public’ in the relevant sense</w:t>
      </w:r>
      <w:r w:rsidR="000B5048" w:rsidRPr="00DD6227">
        <w:rPr>
          <w:rFonts w:asciiTheme="minorHAnsi" w:eastAsiaTheme="minorEastAsia" w:hAnsiTheme="minorHAnsi" w:cstheme="minorHAnsi"/>
          <w:sz w:val="22"/>
          <w:szCs w:val="22"/>
          <w:lang w:val="en-US" w:eastAsia="en-US"/>
        </w:rPr>
        <w:t xml:space="preserve">, </w:t>
      </w:r>
      <w:r w:rsidR="009120E3" w:rsidRPr="00DD6227">
        <w:rPr>
          <w:rFonts w:asciiTheme="minorHAnsi" w:eastAsiaTheme="minorEastAsia" w:hAnsiTheme="minorHAnsi" w:cstheme="minorHAnsi"/>
          <w:sz w:val="22"/>
          <w:szCs w:val="22"/>
          <w:lang w:val="en-US" w:eastAsia="en-US"/>
        </w:rPr>
        <w:t>because</w:t>
      </w:r>
      <w:r w:rsidR="000B5048" w:rsidRPr="00DD6227">
        <w:rPr>
          <w:rFonts w:asciiTheme="minorHAnsi" w:eastAsiaTheme="minorEastAsia" w:hAnsiTheme="minorHAnsi" w:cstheme="minorHAnsi"/>
          <w:sz w:val="22"/>
          <w:szCs w:val="22"/>
          <w:lang w:val="en-US" w:eastAsia="en-US"/>
        </w:rPr>
        <w:t xml:space="preserve"> the potential beneficiary class </w:t>
      </w:r>
      <w:r w:rsidR="00C60071" w:rsidRPr="00DD6227">
        <w:rPr>
          <w:rFonts w:asciiTheme="minorHAnsi" w:eastAsiaTheme="minorEastAsia" w:hAnsiTheme="minorHAnsi" w:cstheme="minorHAnsi"/>
          <w:sz w:val="22"/>
          <w:szCs w:val="22"/>
          <w:lang w:val="en-US" w:eastAsia="en-US"/>
        </w:rPr>
        <w:t>included</w:t>
      </w:r>
      <w:r w:rsidR="000B5048" w:rsidRPr="00DD6227">
        <w:rPr>
          <w:rFonts w:asciiTheme="minorHAnsi" w:eastAsiaTheme="minorEastAsia" w:hAnsiTheme="minorHAnsi" w:cstheme="minorHAnsi"/>
          <w:sz w:val="22"/>
          <w:szCs w:val="22"/>
          <w:lang w:val="en-US" w:eastAsia="en-US"/>
        </w:rPr>
        <w:t xml:space="preserve"> all aged women in straitened circumstances</w:t>
      </w:r>
      <w:r w:rsidR="00811A08">
        <w:rPr>
          <w:rFonts w:asciiTheme="minorHAnsi" w:eastAsiaTheme="minorEastAsia" w:hAnsiTheme="minorHAnsi" w:cstheme="minorHAnsi"/>
          <w:sz w:val="22"/>
          <w:szCs w:val="22"/>
          <w:lang w:val="en-US" w:eastAsia="en-US"/>
        </w:rPr>
        <w:t xml:space="preserve"> </w:t>
      </w:r>
      <w:r w:rsidR="00C60071" w:rsidRPr="00DD6227">
        <w:rPr>
          <w:rFonts w:asciiTheme="minorHAnsi" w:eastAsiaTheme="minorEastAsia" w:hAnsiTheme="minorHAnsi" w:cstheme="minorHAnsi"/>
          <w:sz w:val="22"/>
          <w:szCs w:val="22"/>
          <w:lang w:val="en-US" w:eastAsia="en-US"/>
        </w:rPr>
        <w:t>in the community</w:t>
      </w:r>
      <w:r w:rsidR="00F825A1" w:rsidRPr="00DD6227">
        <w:rPr>
          <w:rFonts w:asciiTheme="minorHAnsi" w:eastAsiaTheme="minorEastAsia" w:hAnsiTheme="minorHAnsi" w:cstheme="minorHAnsi"/>
          <w:sz w:val="22"/>
          <w:szCs w:val="22"/>
          <w:lang w:val="en-US" w:eastAsia="en-US"/>
        </w:rPr>
        <w:t>.</w:t>
      </w:r>
    </w:p>
    <w:p w14:paraId="235CE9D0" w14:textId="08D7F679" w:rsidR="006D7F57" w:rsidRPr="00DD6227" w:rsidRDefault="00EE7674"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In contrast, in </w:t>
      </w:r>
      <w:r w:rsidR="00B660AF" w:rsidRPr="00DD6227">
        <w:rPr>
          <w:rFonts w:asciiTheme="minorHAnsi" w:eastAsiaTheme="minorEastAsia" w:hAnsiTheme="minorHAnsi" w:cstheme="minorHAnsi"/>
          <w:i/>
          <w:iCs/>
          <w:sz w:val="22"/>
          <w:szCs w:val="22"/>
          <w:lang w:val="en-US" w:eastAsia="en-US"/>
        </w:rPr>
        <w:t>Re Income Tax Acts No. 1</w:t>
      </w:r>
      <w:r w:rsidR="00174DC4" w:rsidRPr="00DD6227">
        <w:rPr>
          <w:rFonts w:asciiTheme="minorHAnsi" w:eastAsiaTheme="minorEastAsia" w:hAnsiTheme="minorHAnsi" w:cstheme="minorHAnsi"/>
          <w:sz w:val="22"/>
          <w:szCs w:val="22"/>
          <w:lang w:val="en-US" w:eastAsia="en-US"/>
        </w:rPr>
        <w:t>, the Supreme Court of Victoria found that</w:t>
      </w:r>
      <w:r w:rsidR="00B660AF" w:rsidRPr="00DD6227">
        <w:rPr>
          <w:rFonts w:asciiTheme="minorHAnsi" w:eastAsiaTheme="minorEastAsia" w:hAnsiTheme="minorHAnsi" w:cstheme="minorHAnsi"/>
          <w:sz w:val="22"/>
          <w:szCs w:val="22"/>
          <w:lang w:val="en-US" w:eastAsia="en-US"/>
        </w:rPr>
        <w:t xml:space="preserve"> </w:t>
      </w:r>
      <w:r w:rsidR="000D7CE9" w:rsidRPr="00DD6227">
        <w:rPr>
          <w:rFonts w:asciiTheme="minorHAnsi" w:eastAsiaTheme="minorEastAsia" w:hAnsiTheme="minorHAnsi" w:cstheme="minorHAnsi"/>
          <w:sz w:val="22"/>
          <w:szCs w:val="22"/>
          <w:lang w:val="en-US" w:eastAsia="en-US"/>
        </w:rPr>
        <w:t>an institution called the</w:t>
      </w:r>
      <w:r w:rsidR="00503C29" w:rsidRPr="00DD6227">
        <w:rPr>
          <w:rFonts w:asciiTheme="minorHAnsi" w:eastAsiaTheme="minorEastAsia" w:hAnsiTheme="minorHAnsi" w:cstheme="minorHAnsi"/>
          <w:sz w:val="22"/>
          <w:szCs w:val="22"/>
          <w:lang w:val="en-US" w:eastAsia="en-US"/>
        </w:rPr>
        <w:t xml:space="preserve"> </w:t>
      </w:r>
      <w:r w:rsidR="000D7CE9" w:rsidRPr="00DD6227">
        <w:rPr>
          <w:rFonts w:asciiTheme="minorHAnsi" w:eastAsiaTheme="minorEastAsia" w:hAnsiTheme="minorHAnsi" w:cstheme="minorHAnsi"/>
          <w:sz w:val="22"/>
          <w:szCs w:val="22"/>
          <w:lang w:val="en-US" w:eastAsia="en-US"/>
        </w:rPr>
        <w:t>‘</w:t>
      </w:r>
      <w:r w:rsidR="00503C29" w:rsidRPr="00DD6227">
        <w:rPr>
          <w:rFonts w:asciiTheme="minorHAnsi" w:eastAsiaTheme="minorEastAsia" w:hAnsiTheme="minorHAnsi" w:cstheme="minorHAnsi"/>
          <w:sz w:val="22"/>
          <w:szCs w:val="22"/>
          <w:lang w:val="en-US" w:eastAsia="en-US"/>
        </w:rPr>
        <w:t xml:space="preserve">Freemasons’ Homes of Victoria’ was not a </w:t>
      </w:r>
      <w:r w:rsidR="00A17357">
        <w:rPr>
          <w:rFonts w:asciiTheme="minorHAnsi" w:eastAsiaTheme="minorEastAsia" w:hAnsiTheme="minorHAnsi" w:cstheme="minorHAnsi"/>
          <w:sz w:val="22"/>
          <w:szCs w:val="22"/>
          <w:lang w:val="en-US" w:eastAsia="en-US"/>
        </w:rPr>
        <w:t>‘</w:t>
      </w:r>
      <w:r w:rsidR="00503C29" w:rsidRPr="00DD6227">
        <w:rPr>
          <w:rFonts w:asciiTheme="minorHAnsi" w:eastAsiaTheme="minorEastAsia" w:hAnsiTheme="minorHAnsi" w:cstheme="minorHAnsi"/>
          <w:sz w:val="22"/>
          <w:szCs w:val="22"/>
          <w:lang w:val="en-US" w:eastAsia="en-US"/>
        </w:rPr>
        <w:t>public benevolent asylum</w:t>
      </w:r>
      <w:r w:rsidR="00A17357">
        <w:rPr>
          <w:rFonts w:asciiTheme="minorHAnsi" w:eastAsiaTheme="minorEastAsia" w:hAnsiTheme="minorHAnsi" w:cstheme="minorHAnsi"/>
          <w:sz w:val="22"/>
          <w:szCs w:val="22"/>
          <w:lang w:val="en-US" w:eastAsia="en-US"/>
        </w:rPr>
        <w:t>’</w:t>
      </w:r>
      <w:r w:rsidR="00503C29" w:rsidRPr="00DD6227">
        <w:rPr>
          <w:rFonts w:asciiTheme="minorHAnsi" w:eastAsiaTheme="minorEastAsia" w:hAnsiTheme="minorHAnsi" w:cstheme="minorHAnsi"/>
          <w:sz w:val="22"/>
          <w:szCs w:val="22"/>
          <w:lang w:val="en-US" w:eastAsia="en-US"/>
        </w:rPr>
        <w:t>.</w:t>
      </w:r>
      <w:r w:rsidR="00B248AD">
        <w:rPr>
          <w:rStyle w:val="FootnoteReference"/>
          <w:rFonts w:asciiTheme="minorHAnsi" w:eastAsiaTheme="minorEastAsia" w:hAnsiTheme="minorHAnsi" w:cstheme="minorHAnsi"/>
          <w:sz w:val="22"/>
          <w:szCs w:val="22"/>
          <w:lang w:val="en-US" w:eastAsia="en-US"/>
        </w:rPr>
        <w:footnoteReference w:id="56"/>
      </w:r>
      <w:r w:rsidR="00134E0C" w:rsidRPr="00DD6227">
        <w:rPr>
          <w:rFonts w:asciiTheme="minorHAnsi" w:eastAsiaTheme="minorEastAsia" w:hAnsiTheme="minorHAnsi" w:cstheme="minorHAnsi"/>
          <w:sz w:val="22"/>
          <w:szCs w:val="22"/>
          <w:lang w:val="en-US" w:eastAsia="en-US"/>
        </w:rPr>
        <w:t xml:space="preserve"> The purpose of </w:t>
      </w:r>
      <w:r w:rsidR="000D7CE9" w:rsidRPr="00DD6227">
        <w:rPr>
          <w:rFonts w:asciiTheme="minorHAnsi" w:eastAsiaTheme="minorEastAsia" w:hAnsiTheme="minorHAnsi" w:cstheme="minorHAnsi"/>
          <w:sz w:val="22"/>
          <w:szCs w:val="22"/>
          <w:lang w:val="en-US" w:eastAsia="en-US"/>
        </w:rPr>
        <w:t xml:space="preserve">this institution </w:t>
      </w:r>
      <w:r w:rsidR="0083399A" w:rsidRPr="00DD6227">
        <w:rPr>
          <w:rFonts w:asciiTheme="minorHAnsi" w:eastAsiaTheme="minorEastAsia" w:hAnsiTheme="minorHAnsi" w:cstheme="minorHAnsi"/>
          <w:sz w:val="22"/>
          <w:szCs w:val="22"/>
          <w:lang w:val="en-US" w:eastAsia="en-US"/>
        </w:rPr>
        <w:t>w</w:t>
      </w:r>
      <w:r w:rsidR="000D7CE9" w:rsidRPr="00DD6227">
        <w:rPr>
          <w:rFonts w:asciiTheme="minorHAnsi" w:eastAsiaTheme="minorEastAsia" w:hAnsiTheme="minorHAnsi" w:cstheme="minorHAnsi"/>
          <w:sz w:val="22"/>
          <w:szCs w:val="22"/>
          <w:lang w:val="en-US" w:eastAsia="en-US"/>
        </w:rPr>
        <w:t>as</w:t>
      </w:r>
      <w:r w:rsidR="0083399A" w:rsidRPr="00DD6227">
        <w:rPr>
          <w:rFonts w:asciiTheme="minorHAnsi" w:eastAsiaTheme="minorEastAsia" w:hAnsiTheme="minorHAnsi" w:cstheme="minorHAnsi"/>
          <w:sz w:val="22"/>
          <w:szCs w:val="22"/>
          <w:lang w:val="en-US" w:eastAsia="en-US"/>
        </w:rPr>
        <w:t xml:space="preserve"> to provide housing to aged Freemasons</w:t>
      </w:r>
      <w:r w:rsidR="00002A50" w:rsidRPr="00DD6227">
        <w:rPr>
          <w:rFonts w:asciiTheme="minorHAnsi" w:eastAsiaTheme="minorEastAsia" w:hAnsiTheme="minorHAnsi" w:cstheme="minorHAnsi"/>
          <w:sz w:val="22"/>
          <w:szCs w:val="22"/>
          <w:lang w:val="en-US" w:eastAsia="en-US"/>
        </w:rPr>
        <w:t xml:space="preserve"> and their wives</w:t>
      </w:r>
      <w:r w:rsidR="0083399A" w:rsidRPr="00DD6227">
        <w:rPr>
          <w:rFonts w:asciiTheme="minorHAnsi" w:eastAsiaTheme="minorEastAsia" w:hAnsiTheme="minorHAnsi" w:cstheme="minorHAnsi"/>
          <w:sz w:val="22"/>
          <w:szCs w:val="22"/>
          <w:lang w:val="en-US" w:eastAsia="en-US"/>
        </w:rPr>
        <w:t>,</w:t>
      </w:r>
      <w:r w:rsidR="00B25F0C" w:rsidRPr="00DD6227">
        <w:rPr>
          <w:rFonts w:asciiTheme="minorHAnsi" w:eastAsiaTheme="minorEastAsia" w:hAnsiTheme="minorHAnsi" w:cstheme="minorHAnsi"/>
          <w:sz w:val="22"/>
          <w:szCs w:val="22"/>
          <w:lang w:val="en-US" w:eastAsia="en-US"/>
        </w:rPr>
        <w:t xml:space="preserve"> to</w:t>
      </w:r>
      <w:r w:rsidR="0083399A" w:rsidRPr="00DD6227">
        <w:rPr>
          <w:rFonts w:asciiTheme="minorHAnsi" w:eastAsiaTheme="minorEastAsia" w:hAnsiTheme="minorHAnsi" w:cstheme="minorHAnsi"/>
          <w:sz w:val="22"/>
          <w:szCs w:val="22"/>
          <w:lang w:val="en-US" w:eastAsia="en-US"/>
        </w:rPr>
        <w:t xml:space="preserve"> Freemasons who were permanently incapacitated from</w:t>
      </w:r>
      <w:r w:rsidR="00002A50" w:rsidRPr="00DD6227">
        <w:rPr>
          <w:rFonts w:asciiTheme="minorHAnsi" w:eastAsiaTheme="minorEastAsia" w:hAnsiTheme="minorHAnsi" w:cstheme="minorHAnsi"/>
          <w:sz w:val="22"/>
          <w:szCs w:val="22"/>
          <w:lang w:val="en-US" w:eastAsia="en-US"/>
        </w:rPr>
        <w:t xml:space="preserve"> earning a living and their wives, and </w:t>
      </w:r>
      <w:r w:rsidR="00B25F0C" w:rsidRPr="00DD6227">
        <w:rPr>
          <w:rFonts w:asciiTheme="minorHAnsi" w:eastAsiaTheme="minorEastAsia" w:hAnsiTheme="minorHAnsi" w:cstheme="minorHAnsi"/>
          <w:sz w:val="22"/>
          <w:szCs w:val="22"/>
          <w:lang w:val="en-US" w:eastAsia="en-US"/>
        </w:rPr>
        <w:t xml:space="preserve">to </w:t>
      </w:r>
      <w:r w:rsidR="00002A50" w:rsidRPr="00DD6227">
        <w:rPr>
          <w:rFonts w:asciiTheme="minorHAnsi" w:eastAsiaTheme="minorEastAsia" w:hAnsiTheme="minorHAnsi" w:cstheme="minorHAnsi"/>
          <w:sz w:val="22"/>
          <w:szCs w:val="22"/>
          <w:lang w:val="en-US" w:eastAsia="en-US"/>
        </w:rPr>
        <w:t>widows of Freemasons.</w:t>
      </w:r>
      <w:r w:rsidR="008A1548" w:rsidRPr="00DD6227">
        <w:rPr>
          <w:rFonts w:asciiTheme="minorHAnsi" w:eastAsiaTheme="minorEastAsia" w:hAnsiTheme="minorHAnsi" w:cstheme="minorHAnsi"/>
          <w:sz w:val="22"/>
          <w:szCs w:val="22"/>
          <w:lang w:val="en-US" w:eastAsia="en-US"/>
        </w:rPr>
        <w:t xml:space="preserve"> None of the people who </w:t>
      </w:r>
      <w:r w:rsidR="008D340E" w:rsidRPr="00DD6227">
        <w:rPr>
          <w:rFonts w:asciiTheme="minorHAnsi" w:eastAsiaTheme="minorEastAsia" w:hAnsiTheme="minorHAnsi" w:cstheme="minorHAnsi"/>
          <w:sz w:val="22"/>
          <w:szCs w:val="22"/>
          <w:lang w:val="en-US" w:eastAsia="en-US"/>
        </w:rPr>
        <w:t xml:space="preserve">the institution </w:t>
      </w:r>
      <w:r w:rsidR="008A1548" w:rsidRPr="00DD6227">
        <w:rPr>
          <w:rFonts w:asciiTheme="minorHAnsi" w:eastAsiaTheme="minorEastAsia" w:hAnsiTheme="minorHAnsi" w:cstheme="minorHAnsi"/>
          <w:sz w:val="22"/>
          <w:szCs w:val="22"/>
          <w:lang w:val="en-US" w:eastAsia="en-US"/>
        </w:rPr>
        <w:t xml:space="preserve">housed paid anything towards the cost of the housing. </w:t>
      </w:r>
      <w:r w:rsidR="00DF336A" w:rsidRPr="00DD6227">
        <w:rPr>
          <w:rFonts w:asciiTheme="minorHAnsi" w:eastAsiaTheme="minorEastAsia" w:hAnsiTheme="minorHAnsi" w:cstheme="minorHAnsi"/>
          <w:sz w:val="22"/>
          <w:szCs w:val="22"/>
          <w:lang w:val="en-US" w:eastAsia="en-US"/>
        </w:rPr>
        <w:t xml:space="preserve">At the time of the decision, the institution housed 21 people. </w:t>
      </w:r>
    </w:p>
    <w:p w14:paraId="75E5AE04" w14:textId="5FBB7A49" w:rsidR="00EE7674" w:rsidRPr="00DD6227" w:rsidRDefault="00DF336A"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lastRenderedPageBreak/>
        <w:t xml:space="preserve">The Court </w:t>
      </w:r>
      <w:r w:rsidR="00E00622" w:rsidRPr="00DD6227">
        <w:rPr>
          <w:rFonts w:asciiTheme="minorHAnsi" w:eastAsiaTheme="minorEastAsia" w:hAnsiTheme="minorHAnsi" w:cstheme="minorHAnsi"/>
          <w:sz w:val="22"/>
          <w:szCs w:val="22"/>
          <w:lang w:val="en-US" w:eastAsia="en-US"/>
        </w:rPr>
        <w:t xml:space="preserve">accepted that </w:t>
      </w:r>
      <w:r w:rsidR="00DC4BBE" w:rsidRPr="00DD6227">
        <w:rPr>
          <w:rFonts w:asciiTheme="minorHAnsi" w:eastAsiaTheme="minorEastAsia" w:hAnsiTheme="minorHAnsi" w:cstheme="minorHAnsi"/>
          <w:sz w:val="22"/>
          <w:szCs w:val="22"/>
          <w:lang w:val="en-US" w:eastAsia="en-US"/>
        </w:rPr>
        <w:t xml:space="preserve">the people being housed were </w:t>
      </w:r>
      <w:r w:rsidR="00F100CE" w:rsidRPr="00DD6227">
        <w:rPr>
          <w:rFonts w:asciiTheme="minorHAnsi" w:eastAsiaTheme="minorEastAsia" w:hAnsiTheme="minorHAnsi" w:cstheme="minorHAnsi"/>
          <w:sz w:val="22"/>
          <w:szCs w:val="22"/>
          <w:lang w:val="en-US" w:eastAsia="en-US"/>
        </w:rPr>
        <w:t>in need</w:t>
      </w:r>
      <w:r w:rsidR="00365E9D" w:rsidRPr="00DD6227">
        <w:rPr>
          <w:rFonts w:asciiTheme="minorHAnsi" w:eastAsiaTheme="minorEastAsia" w:hAnsiTheme="minorHAnsi" w:cstheme="minorHAnsi"/>
          <w:sz w:val="22"/>
          <w:szCs w:val="22"/>
          <w:lang w:val="en-US" w:eastAsia="en-US"/>
        </w:rPr>
        <w:t xml:space="preserve">. </w:t>
      </w:r>
      <w:r w:rsidR="002249CB" w:rsidRPr="00DD6227">
        <w:rPr>
          <w:rFonts w:asciiTheme="minorHAnsi" w:eastAsiaTheme="minorEastAsia" w:hAnsiTheme="minorHAnsi" w:cstheme="minorHAnsi"/>
          <w:sz w:val="22"/>
          <w:szCs w:val="22"/>
          <w:lang w:val="en-US" w:eastAsia="en-US"/>
        </w:rPr>
        <w:t xml:space="preserve">However, although </w:t>
      </w:r>
      <w:r w:rsidR="00674921" w:rsidRPr="00DD6227">
        <w:rPr>
          <w:rFonts w:asciiTheme="minorHAnsi" w:eastAsiaTheme="minorEastAsia" w:hAnsiTheme="minorHAnsi" w:cstheme="minorHAnsi"/>
          <w:sz w:val="22"/>
          <w:szCs w:val="22"/>
          <w:lang w:val="en-US" w:eastAsia="en-US"/>
        </w:rPr>
        <w:t>there were around</w:t>
      </w:r>
      <w:r w:rsidR="00840195" w:rsidRPr="00DD6227">
        <w:rPr>
          <w:rFonts w:asciiTheme="minorHAnsi" w:eastAsiaTheme="minorEastAsia" w:hAnsiTheme="minorHAnsi" w:cstheme="minorHAnsi"/>
          <w:sz w:val="22"/>
          <w:szCs w:val="22"/>
          <w:lang w:val="en-US" w:eastAsia="en-US"/>
        </w:rPr>
        <w:t xml:space="preserve"> 46,000 </w:t>
      </w:r>
      <w:r w:rsidR="00F75264" w:rsidRPr="00DD6227">
        <w:rPr>
          <w:rFonts w:asciiTheme="minorHAnsi" w:eastAsiaTheme="minorEastAsia" w:hAnsiTheme="minorHAnsi" w:cstheme="minorHAnsi"/>
          <w:sz w:val="22"/>
          <w:szCs w:val="22"/>
          <w:lang w:val="en-US" w:eastAsia="en-US"/>
        </w:rPr>
        <w:t>Freemasons (and their wives and widows) who could potentially benefit from the housing</w:t>
      </w:r>
      <w:r w:rsidR="00C643B9" w:rsidRPr="00DD6227">
        <w:rPr>
          <w:rFonts w:asciiTheme="minorHAnsi" w:eastAsiaTheme="minorEastAsia" w:hAnsiTheme="minorHAnsi" w:cstheme="minorHAnsi"/>
          <w:sz w:val="22"/>
          <w:szCs w:val="22"/>
          <w:lang w:val="en-US" w:eastAsia="en-US"/>
        </w:rPr>
        <w:t>, the</w:t>
      </w:r>
      <w:r w:rsidR="002249CB" w:rsidRPr="00DD6227">
        <w:rPr>
          <w:rFonts w:asciiTheme="minorHAnsi" w:eastAsiaTheme="minorEastAsia" w:hAnsiTheme="minorHAnsi" w:cstheme="minorHAnsi"/>
          <w:sz w:val="22"/>
          <w:szCs w:val="22"/>
          <w:lang w:val="en-US" w:eastAsia="en-US"/>
        </w:rPr>
        <w:t xml:space="preserve"> Court found that the</w:t>
      </w:r>
      <w:r w:rsidR="00C643B9" w:rsidRPr="00DD6227">
        <w:rPr>
          <w:rFonts w:asciiTheme="minorHAnsi" w:eastAsiaTheme="minorEastAsia" w:hAnsiTheme="minorHAnsi" w:cstheme="minorHAnsi"/>
          <w:sz w:val="22"/>
          <w:szCs w:val="22"/>
          <w:lang w:val="en-US" w:eastAsia="en-US"/>
        </w:rPr>
        <w:t xml:space="preserve"> institution was not ‘public’</w:t>
      </w:r>
      <w:r w:rsidR="00F75264" w:rsidRPr="00DD6227">
        <w:rPr>
          <w:rFonts w:asciiTheme="minorHAnsi" w:eastAsiaTheme="minorEastAsia" w:hAnsiTheme="minorHAnsi" w:cstheme="minorHAnsi"/>
          <w:sz w:val="22"/>
          <w:szCs w:val="22"/>
          <w:lang w:val="en-US" w:eastAsia="en-US"/>
        </w:rPr>
        <w:t>.</w:t>
      </w:r>
      <w:r w:rsidR="00C643B9" w:rsidRPr="00DD6227">
        <w:rPr>
          <w:rFonts w:asciiTheme="minorHAnsi" w:eastAsiaTheme="minorEastAsia" w:hAnsiTheme="minorHAnsi" w:cstheme="minorHAnsi"/>
          <w:sz w:val="22"/>
          <w:szCs w:val="22"/>
          <w:lang w:val="en-US" w:eastAsia="en-US"/>
        </w:rPr>
        <w:t xml:space="preserve"> </w:t>
      </w:r>
      <w:r w:rsidR="006F31E0" w:rsidRPr="00DD6227">
        <w:rPr>
          <w:rFonts w:asciiTheme="minorHAnsi" w:eastAsiaTheme="minorEastAsia" w:hAnsiTheme="minorHAnsi" w:cstheme="minorHAnsi"/>
          <w:sz w:val="22"/>
          <w:szCs w:val="22"/>
          <w:lang w:val="en-US" w:eastAsia="en-US"/>
        </w:rPr>
        <w:t xml:space="preserve">The </w:t>
      </w:r>
      <w:r w:rsidR="00C92CCB" w:rsidRPr="00DD6227">
        <w:rPr>
          <w:rFonts w:asciiTheme="minorHAnsi" w:eastAsiaTheme="minorEastAsia" w:hAnsiTheme="minorHAnsi" w:cstheme="minorHAnsi"/>
          <w:sz w:val="22"/>
          <w:szCs w:val="22"/>
          <w:lang w:val="en-US" w:eastAsia="en-US"/>
        </w:rPr>
        <w:t xml:space="preserve">Court noted that, to benefit from the housing, a beneficiary had to be a Freemason, or the wife or widow of a Freemason. </w:t>
      </w:r>
      <w:r w:rsidR="00245B51" w:rsidRPr="00DD6227">
        <w:rPr>
          <w:rFonts w:asciiTheme="minorHAnsi" w:eastAsiaTheme="minorEastAsia" w:hAnsiTheme="minorHAnsi" w:cstheme="minorHAnsi"/>
          <w:sz w:val="22"/>
          <w:szCs w:val="22"/>
          <w:lang w:val="en-US" w:eastAsia="en-US"/>
        </w:rPr>
        <w:t>The Court also noted that Freemasons can choose to admit or reject applications for membershi</w:t>
      </w:r>
      <w:r w:rsidR="005767A5" w:rsidRPr="00DD6227">
        <w:rPr>
          <w:rFonts w:asciiTheme="minorHAnsi" w:eastAsiaTheme="minorEastAsia" w:hAnsiTheme="minorHAnsi" w:cstheme="minorHAnsi"/>
          <w:sz w:val="22"/>
          <w:szCs w:val="22"/>
          <w:lang w:val="en-US" w:eastAsia="en-US"/>
        </w:rPr>
        <w:t>p</w:t>
      </w:r>
      <w:r w:rsidR="00010CD1" w:rsidRPr="00DD6227">
        <w:rPr>
          <w:rFonts w:asciiTheme="minorHAnsi" w:eastAsiaTheme="minorEastAsia" w:hAnsiTheme="minorHAnsi" w:cstheme="minorHAnsi"/>
          <w:sz w:val="22"/>
          <w:szCs w:val="22"/>
          <w:lang w:val="en-US" w:eastAsia="en-US"/>
        </w:rPr>
        <w:t xml:space="preserve"> without needing to give any reason for doing so</w:t>
      </w:r>
      <w:r w:rsidR="003C0BE5" w:rsidRPr="00DD6227">
        <w:rPr>
          <w:rFonts w:asciiTheme="minorHAnsi" w:eastAsiaTheme="minorEastAsia" w:hAnsiTheme="minorHAnsi" w:cstheme="minorHAnsi"/>
          <w:sz w:val="22"/>
          <w:szCs w:val="22"/>
          <w:lang w:val="en-US" w:eastAsia="en-US"/>
        </w:rPr>
        <w:t xml:space="preserve">. On that basis, the Court concluded that the institution was a </w:t>
      </w:r>
      <w:r w:rsidR="001D5903">
        <w:rPr>
          <w:rFonts w:asciiTheme="minorHAnsi" w:eastAsiaTheme="minorEastAsia" w:hAnsiTheme="minorHAnsi" w:cstheme="minorHAnsi"/>
          <w:sz w:val="22"/>
          <w:szCs w:val="22"/>
          <w:lang w:val="en-US" w:eastAsia="en-US"/>
        </w:rPr>
        <w:t>‘</w:t>
      </w:r>
      <w:r w:rsidR="003C0BE5" w:rsidRPr="00DD6227">
        <w:rPr>
          <w:rFonts w:asciiTheme="minorHAnsi" w:eastAsiaTheme="minorEastAsia" w:hAnsiTheme="minorHAnsi" w:cstheme="minorHAnsi"/>
          <w:sz w:val="22"/>
          <w:szCs w:val="22"/>
          <w:lang w:val="en-US" w:eastAsia="en-US"/>
        </w:rPr>
        <w:t>private benevolent asylum</w:t>
      </w:r>
      <w:r w:rsidR="001D5903">
        <w:rPr>
          <w:rFonts w:asciiTheme="minorHAnsi" w:eastAsiaTheme="minorEastAsia" w:hAnsiTheme="minorHAnsi" w:cstheme="minorHAnsi"/>
          <w:sz w:val="22"/>
          <w:szCs w:val="22"/>
          <w:lang w:val="en-US" w:eastAsia="en-US"/>
        </w:rPr>
        <w:t>’</w:t>
      </w:r>
      <w:r w:rsidR="003C0BE5" w:rsidRPr="00DD6227">
        <w:rPr>
          <w:rFonts w:asciiTheme="minorHAnsi" w:eastAsiaTheme="minorEastAsia" w:hAnsiTheme="minorHAnsi" w:cstheme="minorHAnsi"/>
          <w:sz w:val="22"/>
          <w:szCs w:val="22"/>
          <w:lang w:val="en-US" w:eastAsia="en-US"/>
        </w:rPr>
        <w:t xml:space="preserve">, not a </w:t>
      </w:r>
      <w:r w:rsidR="001D5903">
        <w:rPr>
          <w:rFonts w:asciiTheme="minorHAnsi" w:eastAsiaTheme="minorEastAsia" w:hAnsiTheme="minorHAnsi" w:cstheme="minorHAnsi"/>
          <w:sz w:val="22"/>
          <w:szCs w:val="22"/>
          <w:lang w:val="en-US" w:eastAsia="en-US"/>
        </w:rPr>
        <w:t>‘</w:t>
      </w:r>
      <w:r w:rsidR="003C0BE5" w:rsidRPr="00DD6227">
        <w:rPr>
          <w:rFonts w:asciiTheme="minorHAnsi" w:eastAsiaTheme="minorEastAsia" w:hAnsiTheme="minorHAnsi" w:cstheme="minorHAnsi"/>
          <w:sz w:val="22"/>
          <w:szCs w:val="22"/>
          <w:lang w:val="en-US" w:eastAsia="en-US"/>
        </w:rPr>
        <w:t>public benevolent asylum</w:t>
      </w:r>
      <w:r w:rsidR="001D5903">
        <w:rPr>
          <w:rFonts w:asciiTheme="minorHAnsi" w:eastAsiaTheme="minorEastAsia" w:hAnsiTheme="minorHAnsi" w:cstheme="minorHAnsi"/>
          <w:sz w:val="22"/>
          <w:szCs w:val="22"/>
          <w:lang w:val="en-US" w:eastAsia="en-US"/>
        </w:rPr>
        <w:t>’</w:t>
      </w:r>
      <w:r w:rsidR="003C0BE5" w:rsidRPr="00DD6227">
        <w:rPr>
          <w:rFonts w:asciiTheme="minorHAnsi" w:eastAsiaTheme="minorEastAsia" w:hAnsiTheme="minorHAnsi" w:cstheme="minorHAnsi"/>
          <w:sz w:val="22"/>
          <w:szCs w:val="22"/>
          <w:lang w:val="en-US" w:eastAsia="en-US"/>
        </w:rPr>
        <w:t>.</w:t>
      </w:r>
    </w:p>
    <w:p w14:paraId="1B7250E4" w14:textId="742441F4" w:rsidR="00231DCA" w:rsidRPr="00DD6227" w:rsidRDefault="00586039"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Other</w:t>
      </w:r>
      <w:r w:rsidR="00694B98" w:rsidRPr="00DD6227">
        <w:rPr>
          <w:rFonts w:asciiTheme="minorHAnsi" w:eastAsiaTheme="minorEastAsia" w:hAnsiTheme="minorHAnsi" w:cstheme="minorHAnsi"/>
          <w:sz w:val="22"/>
          <w:szCs w:val="22"/>
          <w:lang w:val="en-US" w:eastAsia="en-US"/>
        </w:rPr>
        <w:t xml:space="preserve"> characteristics</w:t>
      </w:r>
      <w:r w:rsidRPr="00DD6227">
        <w:rPr>
          <w:rFonts w:asciiTheme="minorHAnsi" w:eastAsiaTheme="minorEastAsia" w:hAnsiTheme="minorHAnsi" w:cstheme="minorHAnsi"/>
          <w:sz w:val="22"/>
          <w:szCs w:val="22"/>
          <w:lang w:val="en-US" w:eastAsia="en-US"/>
        </w:rPr>
        <w:t xml:space="preserve"> that</w:t>
      </w:r>
      <w:r w:rsidR="00694B98" w:rsidRPr="00DD6227">
        <w:rPr>
          <w:rFonts w:asciiTheme="minorHAnsi" w:eastAsiaTheme="minorEastAsia" w:hAnsiTheme="minorHAnsi" w:cstheme="minorHAnsi"/>
          <w:sz w:val="22"/>
          <w:szCs w:val="22"/>
          <w:lang w:val="en-US" w:eastAsia="en-US"/>
        </w:rPr>
        <w:t xml:space="preserve"> can indicate that</w:t>
      </w:r>
      <w:r w:rsidRPr="00DD6227">
        <w:rPr>
          <w:rFonts w:asciiTheme="minorHAnsi" w:eastAsiaTheme="minorEastAsia" w:hAnsiTheme="minorHAnsi" w:cstheme="minorHAnsi"/>
          <w:sz w:val="22"/>
          <w:szCs w:val="22"/>
          <w:lang w:val="en-US" w:eastAsia="en-US"/>
        </w:rPr>
        <w:t xml:space="preserve"> a charity is ‘public’ in the sense required for it to be a PBI</w:t>
      </w:r>
      <w:r w:rsidR="004F4700" w:rsidRPr="00DD6227">
        <w:rPr>
          <w:rFonts w:asciiTheme="minorHAnsi" w:eastAsiaTheme="minorEastAsia" w:hAnsiTheme="minorHAnsi" w:cstheme="minorHAnsi"/>
          <w:sz w:val="22"/>
          <w:szCs w:val="22"/>
          <w:lang w:val="en-US" w:eastAsia="en-US"/>
        </w:rPr>
        <w:t xml:space="preserve"> include</w:t>
      </w:r>
      <w:r w:rsidRPr="00DD6227">
        <w:rPr>
          <w:rFonts w:asciiTheme="minorHAnsi" w:eastAsiaTheme="minorEastAsia" w:hAnsiTheme="minorHAnsi" w:cstheme="minorHAnsi"/>
          <w:sz w:val="22"/>
          <w:szCs w:val="22"/>
          <w:lang w:val="en-US" w:eastAsia="en-US"/>
        </w:rPr>
        <w:t>:</w:t>
      </w:r>
    </w:p>
    <w:p w14:paraId="50B096C7" w14:textId="6D4F9A73" w:rsidR="00586039" w:rsidRPr="00DD6227" w:rsidRDefault="00453F9F" w:rsidP="005F2D83">
      <w:pPr>
        <w:pStyle w:val="ListParagraph"/>
        <w:numPr>
          <w:ilvl w:val="1"/>
          <w:numId w:val="3"/>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r</w:t>
      </w:r>
      <w:r w:rsidR="00586039" w:rsidRPr="00DD6227">
        <w:rPr>
          <w:rFonts w:asciiTheme="minorHAnsi" w:eastAsiaTheme="minorEastAsia" w:hAnsiTheme="minorHAnsi" w:cstheme="minorHAnsi"/>
          <w:sz w:val="22"/>
          <w:szCs w:val="22"/>
          <w:lang w:val="en-US" w:eastAsia="en-US"/>
        </w:rPr>
        <w:t xml:space="preserve">eceipt of </w:t>
      </w:r>
      <w:r w:rsidR="00FA2363" w:rsidRPr="00DD6227">
        <w:rPr>
          <w:rFonts w:asciiTheme="minorHAnsi" w:eastAsiaTheme="minorEastAsia" w:hAnsiTheme="minorHAnsi" w:cstheme="minorHAnsi"/>
          <w:sz w:val="22"/>
          <w:szCs w:val="22"/>
          <w:lang w:val="en-US" w:eastAsia="en-US"/>
        </w:rPr>
        <w:t>financial support from members of the public</w:t>
      </w:r>
      <w:r w:rsidR="00A922A0" w:rsidRPr="00DD6227">
        <w:rPr>
          <w:rFonts w:asciiTheme="minorHAnsi" w:eastAsiaTheme="minorEastAsia" w:hAnsiTheme="minorHAnsi" w:cstheme="minorHAnsi"/>
          <w:sz w:val="22"/>
          <w:szCs w:val="22"/>
          <w:lang w:val="en-US" w:eastAsia="en-US"/>
        </w:rPr>
        <w:t>;</w:t>
      </w:r>
      <w:r w:rsidR="004F4700" w:rsidRPr="00DD6227">
        <w:rPr>
          <w:rStyle w:val="FootnoteReference"/>
          <w:rFonts w:asciiTheme="minorHAnsi" w:eastAsiaTheme="minorEastAsia" w:hAnsiTheme="minorHAnsi" w:cstheme="minorHAnsi"/>
          <w:sz w:val="22"/>
          <w:szCs w:val="22"/>
          <w:lang w:val="en-US" w:eastAsia="en-US"/>
        </w:rPr>
        <w:footnoteReference w:id="57"/>
      </w:r>
    </w:p>
    <w:p w14:paraId="2EB181AF" w14:textId="55B67ED3" w:rsidR="00FA2363" w:rsidRPr="00DD6227" w:rsidRDefault="00453F9F" w:rsidP="005F2D83">
      <w:pPr>
        <w:pStyle w:val="ListParagraph"/>
        <w:numPr>
          <w:ilvl w:val="1"/>
          <w:numId w:val="3"/>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r</w:t>
      </w:r>
      <w:r w:rsidR="00FA2363" w:rsidRPr="00DD6227">
        <w:rPr>
          <w:rFonts w:asciiTheme="minorHAnsi" w:eastAsiaTheme="minorEastAsia" w:hAnsiTheme="minorHAnsi" w:cstheme="minorHAnsi"/>
          <w:sz w:val="22"/>
          <w:szCs w:val="22"/>
          <w:lang w:val="en-US" w:eastAsia="en-US"/>
        </w:rPr>
        <w:t xml:space="preserve">eceipt of </w:t>
      </w:r>
      <w:r w:rsidR="00A315DE" w:rsidRPr="00DD6227">
        <w:rPr>
          <w:rFonts w:asciiTheme="minorHAnsi" w:eastAsiaTheme="minorEastAsia" w:hAnsiTheme="minorHAnsi" w:cstheme="minorHAnsi"/>
          <w:sz w:val="22"/>
          <w:szCs w:val="22"/>
          <w:lang w:val="en-US" w:eastAsia="en-US"/>
        </w:rPr>
        <w:t xml:space="preserve">financial or other </w:t>
      </w:r>
      <w:r w:rsidR="00FA2363" w:rsidRPr="00DD6227">
        <w:rPr>
          <w:rFonts w:asciiTheme="minorHAnsi" w:eastAsiaTheme="minorEastAsia" w:hAnsiTheme="minorHAnsi" w:cstheme="minorHAnsi"/>
          <w:sz w:val="22"/>
          <w:szCs w:val="22"/>
          <w:lang w:val="en-US" w:eastAsia="en-US"/>
        </w:rPr>
        <w:t>support from the government</w:t>
      </w:r>
      <w:r w:rsidR="00107D42" w:rsidRPr="00DD6227">
        <w:rPr>
          <w:rFonts w:asciiTheme="minorHAnsi" w:eastAsiaTheme="minorEastAsia" w:hAnsiTheme="minorHAnsi" w:cstheme="minorHAnsi"/>
          <w:sz w:val="22"/>
          <w:szCs w:val="22"/>
          <w:lang w:val="en-US" w:eastAsia="en-US"/>
        </w:rPr>
        <w:t>;</w:t>
      </w:r>
      <w:r w:rsidR="00D9206F" w:rsidRPr="00DD6227">
        <w:rPr>
          <w:rStyle w:val="FootnoteReference"/>
          <w:rFonts w:asciiTheme="minorHAnsi" w:eastAsiaTheme="minorEastAsia" w:hAnsiTheme="minorHAnsi" w:cstheme="minorHAnsi"/>
          <w:sz w:val="22"/>
          <w:szCs w:val="22"/>
          <w:lang w:val="en-US" w:eastAsia="en-US"/>
        </w:rPr>
        <w:footnoteReference w:id="58"/>
      </w:r>
    </w:p>
    <w:p w14:paraId="5947CDB0" w14:textId="51D130E3" w:rsidR="00FA2363" w:rsidRPr="00DD6227" w:rsidRDefault="00453F9F" w:rsidP="005F2D83">
      <w:pPr>
        <w:pStyle w:val="ListParagraph"/>
        <w:numPr>
          <w:ilvl w:val="1"/>
          <w:numId w:val="3"/>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evidence of control by members of the public</w:t>
      </w:r>
      <w:r w:rsidR="00107D42" w:rsidRPr="00DD6227">
        <w:rPr>
          <w:rFonts w:asciiTheme="minorHAnsi" w:eastAsiaTheme="minorEastAsia" w:hAnsiTheme="minorHAnsi" w:cstheme="minorHAnsi"/>
          <w:sz w:val="22"/>
          <w:szCs w:val="22"/>
          <w:lang w:val="en-US" w:eastAsia="en-US"/>
        </w:rPr>
        <w:t>.</w:t>
      </w:r>
      <w:r w:rsidR="009C10AA" w:rsidRPr="00DD6227">
        <w:rPr>
          <w:rStyle w:val="FootnoteReference"/>
          <w:rFonts w:asciiTheme="minorHAnsi" w:eastAsiaTheme="minorEastAsia" w:hAnsiTheme="minorHAnsi" w:cstheme="minorHAnsi"/>
          <w:sz w:val="22"/>
          <w:szCs w:val="22"/>
          <w:lang w:val="en-US" w:eastAsia="en-US"/>
        </w:rPr>
        <w:footnoteReference w:id="59"/>
      </w:r>
    </w:p>
    <w:p w14:paraId="4B810386" w14:textId="5FCA072D" w:rsidR="00694B98" w:rsidRPr="00DD6227" w:rsidRDefault="00DD760B"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But</w:t>
      </w:r>
      <w:r w:rsidR="00694B98" w:rsidRPr="00DD6227">
        <w:rPr>
          <w:rFonts w:asciiTheme="minorHAnsi" w:eastAsiaTheme="minorEastAsia" w:hAnsiTheme="minorHAnsi" w:cstheme="minorHAnsi"/>
          <w:sz w:val="22"/>
          <w:szCs w:val="22"/>
          <w:lang w:val="en-US" w:eastAsia="en-US"/>
        </w:rPr>
        <w:t xml:space="preserve">, </w:t>
      </w:r>
      <w:r w:rsidR="006A04CB" w:rsidRPr="00DD6227">
        <w:rPr>
          <w:rFonts w:asciiTheme="minorHAnsi" w:eastAsiaTheme="minorEastAsia" w:hAnsiTheme="minorHAnsi" w:cstheme="minorHAnsi"/>
          <w:sz w:val="22"/>
          <w:szCs w:val="22"/>
          <w:lang w:val="en-US" w:eastAsia="en-US"/>
        </w:rPr>
        <w:t>even if a charity has one or more of these characteristics, it is unlikely to be ‘public’ in the required sense if it does not assist an appreciable or extensive section of the community</w:t>
      </w:r>
      <w:r w:rsidR="00B35A1A" w:rsidRPr="00DD6227">
        <w:rPr>
          <w:rFonts w:asciiTheme="minorHAnsi" w:eastAsiaTheme="minorEastAsia" w:hAnsiTheme="minorHAnsi" w:cstheme="minorHAnsi"/>
          <w:sz w:val="22"/>
          <w:szCs w:val="22"/>
          <w:lang w:val="en-US" w:eastAsia="en-US"/>
        </w:rPr>
        <w:t>.</w:t>
      </w:r>
      <w:r w:rsidR="00E62ECE" w:rsidRPr="00DD6227">
        <w:rPr>
          <w:rStyle w:val="FootnoteReference"/>
          <w:rFonts w:asciiTheme="minorHAnsi" w:eastAsiaTheme="minorEastAsia" w:hAnsiTheme="minorHAnsi" w:cstheme="minorHAnsi"/>
          <w:sz w:val="22"/>
          <w:szCs w:val="22"/>
          <w:lang w:val="en-US" w:eastAsia="en-US"/>
        </w:rPr>
        <w:footnoteReference w:id="60"/>
      </w:r>
    </w:p>
    <w:p w14:paraId="72C9D29D" w14:textId="77777777" w:rsidR="00665C28" w:rsidRPr="00DD6227" w:rsidRDefault="00665C28"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‘Public’ in the PBI context does not mean being part of, or controlled by, government.</w:t>
      </w:r>
      <w:r w:rsidRPr="00DD6227">
        <w:rPr>
          <w:rStyle w:val="FootnoteReference"/>
          <w:rFonts w:asciiTheme="minorHAnsi" w:eastAsiaTheme="minorEastAsia" w:hAnsiTheme="minorHAnsi" w:cstheme="minorHAnsi"/>
          <w:sz w:val="22"/>
          <w:szCs w:val="22"/>
          <w:lang w:val="en-US" w:eastAsia="en-US"/>
        </w:rPr>
        <w:footnoteReference w:id="61"/>
      </w:r>
      <w:r w:rsidRPr="00DD6227">
        <w:rPr>
          <w:rFonts w:asciiTheme="minorHAnsi" w:eastAsiaTheme="minorEastAsia" w:hAnsiTheme="minorHAnsi" w:cstheme="minorHAnsi"/>
          <w:sz w:val="22"/>
          <w:szCs w:val="22"/>
          <w:lang w:val="en-US" w:eastAsia="en-US"/>
        </w:rPr>
        <w:t xml:space="preserve">  Furthermore, a PBI must meet the definition of ‘charity’ in the </w:t>
      </w:r>
      <w:r w:rsidRPr="00DD6227">
        <w:rPr>
          <w:rFonts w:asciiTheme="minorHAnsi" w:eastAsiaTheme="minorEastAsia" w:hAnsiTheme="minorHAnsi" w:cstheme="minorHAnsi"/>
          <w:i/>
          <w:iCs/>
          <w:sz w:val="22"/>
          <w:szCs w:val="22"/>
          <w:lang w:val="en-US" w:eastAsia="en-US"/>
        </w:rPr>
        <w:t>Charities Act 2013</w:t>
      </w:r>
      <w:r w:rsidRPr="00DD6227">
        <w:rPr>
          <w:rFonts w:asciiTheme="minorHAnsi" w:eastAsiaTheme="minorEastAsia" w:hAnsiTheme="minorHAnsi" w:cstheme="minorHAnsi"/>
          <w:sz w:val="22"/>
          <w:szCs w:val="22"/>
          <w:lang w:val="en-US" w:eastAsia="en-US"/>
        </w:rPr>
        <w:t xml:space="preserve"> (</w:t>
      </w:r>
      <w:proofErr w:type="spellStart"/>
      <w:r w:rsidRPr="00DD6227">
        <w:rPr>
          <w:rFonts w:asciiTheme="minorHAnsi" w:eastAsiaTheme="minorEastAsia" w:hAnsiTheme="minorHAnsi" w:cstheme="minorHAnsi"/>
          <w:sz w:val="22"/>
          <w:szCs w:val="22"/>
          <w:lang w:val="en-US" w:eastAsia="en-US"/>
        </w:rPr>
        <w:t>Cth</w:t>
      </w:r>
      <w:proofErr w:type="spellEnd"/>
      <w:r w:rsidRPr="00DD6227">
        <w:rPr>
          <w:rFonts w:asciiTheme="minorHAnsi" w:eastAsiaTheme="minorEastAsia" w:hAnsiTheme="minorHAnsi" w:cstheme="minorHAnsi"/>
          <w:sz w:val="22"/>
          <w:szCs w:val="22"/>
          <w:lang w:val="en-US" w:eastAsia="en-US"/>
        </w:rPr>
        <w:t>). This definition includes that the charity cannot be a ‘government entity’.</w:t>
      </w:r>
      <w:r w:rsidRPr="00DD6227">
        <w:rPr>
          <w:rStyle w:val="FootnoteReference"/>
          <w:rFonts w:asciiTheme="minorHAnsi" w:eastAsiaTheme="minorEastAsia" w:hAnsiTheme="minorHAnsi" w:cstheme="minorHAnsi"/>
          <w:sz w:val="22"/>
          <w:szCs w:val="22"/>
          <w:lang w:val="en-US" w:eastAsia="en-US"/>
        </w:rPr>
        <w:footnoteReference w:id="62"/>
      </w:r>
    </w:p>
    <w:p w14:paraId="12597AFA" w14:textId="77777777" w:rsidR="006423DA" w:rsidRPr="00DD6227" w:rsidRDefault="006423DA" w:rsidP="006423DA">
      <w:pPr>
        <w:pStyle w:val="ListParagraph"/>
        <w:spacing w:before="120" w:after="120" w:line="276" w:lineRule="auto"/>
        <w:ind w:left="930" w:hanging="221"/>
        <w:textAlignment w:val="baseline"/>
        <w:rPr>
          <w:rFonts w:asciiTheme="minorHAnsi" w:eastAsiaTheme="minorEastAsia" w:hAnsiTheme="minorHAnsi" w:cstheme="minorHAnsi"/>
          <w:color w:val="1F3763"/>
          <w:szCs w:val="24"/>
          <w:lang w:val="en-US" w:eastAsia="en-US"/>
        </w:rPr>
      </w:pPr>
      <w:r w:rsidRPr="00DD6227">
        <w:rPr>
          <w:rFonts w:asciiTheme="minorHAnsi" w:eastAsiaTheme="minorEastAsia" w:hAnsiTheme="minorHAnsi" w:cstheme="minorHAnsi"/>
          <w:color w:val="1F3763"/>
          <w:szCs w:val="24"/>
          <w:lang w:val="en-US" w:eastAsia="en-US"/>
        </w:rPr>
        <w:t>Institution</w:t>
      </w:r>
    </w:p>
    <w:p w14:paraId="0DCF92DA" w14:textId="364F3E01" w:rsidR="006423DA" w:rsidRPr="00DD6227" w:rsidRDefault="006423DA"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In th</w:t>
      </w:r>
      <w:r w:rsidR="00F23AE9" w:rsidRPr="00DD6227">
        <w:rPr>
          <w:rFonts w:asciiTheme="minorHAnsi" w:eastAsiaTheme="minorEastAsia" w:hAnsiTheme="minorHAnsi" w:cstheme="minorHAnsi"/>
          <w:sz w:val="22"/>
          <w:szCs w:val="22"/>
          <w:lang w:val="en-US" w:eastAsia="en-US"/>
        </w:rPr>
        <w:t>e</w:t>
      </w:r>
      <w:r w:rsidRPr="00DD6227">
        <w:rPr>
          <w:rFonts w:asciiTheme="minorHAnsi" w:eastAsiaTheme="minorEastAsia" w:hAnsiTheme="minorHAnsi" w:cstheme="minorHAnsi"/>
          <w:sz w:val="22"/>
          <w:szCs w:val="22"/>
          <w:lang w:val="en-US" w:eastAsia="en-US"/>
        </w:rPr>
        <w:t xml:space="preserve"> </w:t>
      </w:r>
      <w:r w:rsidR="00D77AED" w:rsidRPr="00DD6227">
        <w:rPr>
          <w:rFonts w:asciiTheme="minorHAnsi" w:eastAsiaTheme="minorEastAsia" w:hAnsiTheme="minorHAnsi" w:cstheme="minorHAnsi"/>
          <w:sz w:val="22"/>
          <w:szCs w:val="22"/>
          <w:lang w:val="en-US" w:eastAsia="en-US"/>
        </w:rPr>
        <w:t xml:space="preserve">PBI </w:t>
      </w:r>
      <w:r w:rsidRPr="00DD6227">
        <w:rPr>
          <w:rFonts w:asciiTheme="minorHAnsi" w:eastAsiaTheme="minorEastAsia" w:hAnsiTheme="minorHAnsi" w:cstheme="minorHAnsi"/>
          <w:sz w:val="22"/>
          <w:szCs w:val="22"/>
          <w:lang w:val="en-US" w:eastAsia="en-US"/>
        </w:rPr>
        <w:t>context, an institution is a body created to conduct activities to achieve specified purposes.</w:t>
      </w:r>
      <w:r w:rsidRPr="00DD6227">
        <w:rPr>
          <w:rStyle w:val="FootnoteReference"/>
          <w:rFonts w:asciiTheme="minorHAnsi" w:eastAsiaTheme="minorEastAsia" w:hAnsiTheme="minorHAnsi" w:cstheme="minorHAnsi"/>
          <w:sz w:val="22"/>
          <w:szCs w:val="22"/>
          <w:lang w:val="en-US" w:eastAsia="en-US"/>
        </w:rPr>
        <w:footnoteReference w:id="63"/>
      </w:r>
      <w:r w:rsidRPr="00DD6227">
        <w:rPr>
          <w:rFonts w:asciiTheme="minorHAnsi" w:eastAsiaTheme="minorEastAsia" w:hAnsiTheme="minorHAnsi" w:cstheme="minorHAnsi"/>
          <w:sz w:val="22"/>
          <w:szCs w:val="22"/>
          <w:lang w:val="en-US" w:eastAsia="en-US"/>
        </w:rPr>
        <w:t xml:space="preserve"> In </w:t>
      </w:r>
      <w:r w:rsidRPr="00DD6227">
        <w:rPr>
          <w:rFonts w:asciiTheme="minorHAnsi" w:eastAsiaTheme="minorEastAsia" w:hAnsiTheme="minorHAnsi" w:cstheme="minorHAnsi"/>
          <w:i/>
          <w:iCs/>
          <w:sz w:val="22"/>
          <w:szCs w:val="22"/>
          <w:lang w:val="en-US" w:eastAsia="en-US"/>
        </w:rPr>
        <w:t>Study and Prevention of Psychological Diseases Foundation and Federal Commissioner of Taxation</w:t>
      </w:r>
      <w:r w:rsidRPr="00DD6227">
        <w:rPr>
          <w:rFonts w:asciiTheme="minorHAnsi" w:eastAsiaTheme="minorEastAsia" w:hAnsiTheme="minorHAnsi" w:cstheme="minorHAnsi"/>
          <w:sz w:val="22"/>
          <w:szCs w:val="22"/>
          <w:lang w:val="en-US" w:eastAsia="en-US"/>
        </w:rPr>
        <w:t>, the Administrative Appeals Tribunal quoted the following statement regarding the meaning of ‘institution’:</w:t>
      </w:r>
    </w:p>
    <w:p w14:paraId="6F417A5A" w14:textId="77777777" w:rsidR="006423DA" w:rsidRPr="00DD6227" w:rsidRDefault="006423DA" w:rsidP="006423DA">
      <w:pPr>
        <w:pStyle w:val="ListParagraph"/>
        <w:spacing w:before="120" w:after="120" w:line="276" w:lineRule="auto"/>
        <w:ind w:left="1440"/>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lastRenderedPageBreak/>
        <w:t>In its ordinary sense an “institution” means “an establishment, organization, or association, instituted for the promotion of some object, especially one of public utility, religious charitable educational etc.”</w:t>
      </w:r>
      <w:r w:rsidRPr="00DD6227">
        <w:rPr>
          <w:rStyle w:val="FootnoteReference"/>
          <w:rFonts w:asciiTheme="minorHAnsi" w:eastAsiaTheme="minorEastAsia" w:hAnsiTheme="minorHAnsi" w:cstheme="minorHAnsi"/>
          <w:sz w:val="22"/>
          <w:szCs w:val="22"/>
          <w:lang w:val="en-US" w:eastAsia="en-US"/>
        </w:rPr>
        <w:footnoteReference w:id="64"/>
      </w:r>
    </w:p>
    <w:p w14:paraId="3DFFC1A3" w14:textId="66468E6A" w:rsidR="006423DA" w:rsidRPr="00DD6227" w:rsidRDefault="006423DA"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An institution does not need to have any </w:t>
      </w:r>
      <w:proofErr w:type="gramStart"/>
      <w:r w:rsidRPr="00DD6227">
        <w:rPr>
          <w:rFonts w:asciiTheme="minorHAnsi" w:eastAsiaTheme="minorEastAsia" w:hAnsiTheme="minorHAnsi" w:cstheme="minorHAnsi"/>
          <w:sz w:val="22"/>
          <w:szCs w:val="22"/>
          <w:lang w:val="en-US" w:eastAsia="en-US"/>
        </w:rPr>
        <w:t>particular legal</w:t>
      </w:r>
      <w:proofErr w:type="gramEnd"/>
      <w:r w:rsidRPr="00DD6227">
        <w:rPr>
          <w:rFonts w:asciiTheme="minorHAnsi" w:eastAsiaTheme="minorEastAsia" w:hAnsiTheme="minorHAnsi" w:cstheme="minorHAnsi"/>
          <w:sz w:val="22"/>
          <w:szCs w:val="22"/>
          <w:lang w:val="en-US" w:eastAsia="en-US"/>
        </w:rPr>
        <w:t xml:space="preserve"> structure. </w:t>
      </w:r>
      <w:r w:rsidR="0001715A" w:rsidRPr="00DD6227">
        <w:rPr>
          <w:rFonts w:asciiTheme="minorHAnsi" w:eastAsiaTheme="minorEastAsia" w:hAnsiTheme="minorHAnsi" w:cstheme="minorHAnsi"/>
          <w:sz w:val="22"/>
          <w:szCs w:val="22"/>
          <w:lang w:val="en-US" w:eastAsia="en-US"/>
        </w:rPr>
        <w:t>But</w:t>
      </w:r>
      <w:r w:rsidRPr="00DD6227">
        <w:rPr>
          <w:rFonts w:asciiTheme="minorHAnsi" w:eastAsiaTheme="minorEastAsia" w:hAnsiTheme="minorHAnsi" w:cstheme="minorHAnsi"/>
          <w:sz w:val="22"/>
          <w:szCs w:val="22"/>
          <w:lang w:val="en-US" w:eastAsia="en-US"/>
        </w:rPr>
        <w:t xml:space="preserve"> an institution must have a distinct identity,</w:t>
      </w:r>
      <w:r w:rsidR="00CB4A23">
        <w:rPr>
          <w:rStyle w:val="FootnoteReference"/>
          <w:rFonts w:asciiTheme="minorHAnsi" w:eastAsiaTheme="minorEastAsia" w:hAnsiTheme="minorHAnsi" w:cstheme="minorHAnsi"/>
          <w:sz w:val="22"/>
          <w:szCs w:val="22"/>
          <w:lang w:val="en-US" w:eastAsia="en-US"/>
        </w:rPr>
        <w:footnoteReference w:id="65"/>
      </w:r>
      <w:r w:rsidRPr="00DD6227">
        <w:rPr>
          <w:rFonts w:asciiTheme="minorHAnsi" w:eastAsiaTheme="minorEastAsia" w:hAnsiTheme="minorHAnsi" w:cstheme="minorHAnsi"/>
          <w:sz w:val="22"/>
          <w:szCs w:val="22"/>
          <w:lang w:val="en-US" w:eastAsia="en-US"/>
        </w:rPr>
        <w:t xml:space="preserve"> so</w:t>
      </w:r>
      <w:r w:rsidR="00163905">
        <w:rPr>
          <w:rFonts w:asciiTheme="minorHAnsi" w:eastAsiaTheme="minorEastAsia" w:hAnsiTheme="minorHAnsi" w:cstheme="minorHAnsi"/>
          <w:sz w:val="22"/>
          <w:szCs w:val="22"/>
          <w:lang w:val="en-US" w:eastAsia="en-US"/>
        </w:rPr>
        <w:t xml:space="preserve"> it</w:t>
      </w:r>
      <w:r w:rsidRPr="00DD6227">
        <w:rPr>
          <w:rFonts w:asciiTheme="minorHAnsi" w:eastAsiaTheme="minorEastAsia" w:hAnsiTheme="minorHAnsi" w:cstheme="minorHAnsi"/>
          <w:sz w:val="22"/>
          <w:szCs w:val="22"/>
          <w:lang w:val="en-US" w:eastAsia="en-US"/>
        </w:rPr>
        <w:t xml:space="preserve"> cannot be</w:t>
      </w:r>
      <w:r w:rsidR="009C6D1E" w:rsidRPr="00DD6227">
        <w:rPr>
          <w:rFonts w:asciiTheme="minorHAnsi" w:eastAsiaTheme="minorEastAsia" w:hAnsiTheme="minorHAnsi" w:cstheme="minorHAnsi"/>
          <w:sz w:val="22"/>
          <w:szCs w:val="22"/>
          <w:lang w:val="en-US" w:eastAsia="en-US"/>
        </w:rPr>
        <w:t xml:space="preserve"> merely</w:t>
      </w:r>
      <w:r w:rsidRPr="00DD6227">
        <w:rPr>
          <w:rFonts w:asciiTheme="minorHAnsi" w:eastAsiaTheme="minorEastAsia" w:hAnsiTheme="minorHAnsi" w:cstheme="minorHAnsi"/>
          <w:sz w:val="22"/>
          <w:szCs w:val="22"/>
          <w:lang w:val="en-US" w:eastAsia="en-US"/>
        </w:rPr>
        <w:t xml:space="preserve"> a section of another organisation.</w:t>
      </w:r>
    </w:p>
    <w:p w14:paraId="17B45645" w14:textId="4B68987F" w:rsidR="006423DA" w:rsidRDefault="006423DA"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A mere trust or fund is not an institution.</w:t>
      </w:r>
      <w:r w:rsidRPr="00DD6227">
        <w:rPr>
          <w:rStyle w:val="FootnoteReference"/>
          <w:rFonts w:asciiTheme="minorHAnsi" w:eastAsiaTheme="minorEastAsia" w:hAnsiTheme="minorHAnsi" w:cstheme="minorHAnsi"/>
          <w:sz w:val="22"/>
          <w:szCs w:val="22"/>
          <w:lang w:val="en-US" w:eastAsia="en-US"/>
        </w:rPr>
        <w:footnoteReference w:id="66"/>
      </w:r>
      <w:r w:rsidRPr="00DD6227">
        <w:rPr>
          <w:rFonts w:asciiTheme="minorHAnsi" w:eastAsiaTheme="minorEastAsia" w:hAnsiTheme="minorHAnsi" w:cstheme="minorHAnsi"/>
          <w:sz w:val="22"/>
          <w:szCs w:val="22"/>
          <w:lang w:val="en-US" w:eastAsia="en-US"/>
        </w:rPr>
        <w:t xml:space="preserve"> So, a charity </w:t>
      </w:r>
      <w:r w:rsidR="00EC2F22">
        <w:rPr>
          <w:rFonts w:asciiTheme="minorHAnsi" w:eastAsiaTheme="minorEastAsia" w:hAnsiTheme="minorHAnsi" w:cstheme="minorHAnsi"/>
          <w:sz w:val="22"/>
          <w:szCs w:val="22"/>
          <w:lang w:val="en-US" w:eastAsia="en-US"/>
        </w:rPr>
        <w:t>that</w:t>
      </w:r>
      <w:r w:rsidR="00EC2F22" w:rsidRPr="00DD6227">
        <w:rPr>
          <w:rFonts w:asciiTheme="minorHAnsi" w:eastAsiaTheme="minorEastAsia" w:hAnsiTheme="minorHAnsi" w:cstheme="minorHAnsi"/>
          <w:sz w:val="22"/>
          <w:szCs w:val="22"/>
          <w:lang w:val="en-US" w:eastAsia="en-US"/>
        </w:rPr>
        <w:t xml:space="preserve"> </w:t>
      </w:r>
      <w:r w:rsidRPr="00DD6227">
        <w:rPr>
          <w:rFonts w:asciiTheme="minorHAnsi" w:eastAsiaTheme="minorEastAsia" w:hAnsiTheme="minorHAnsi" w:cstheme="minorHAnsi"/>
          <w:sz w:val="22"/>
          <w:szCs w:val="22"/>
          <w:lang w:val="en-US" w:eastAsia="en-US"/>
        </w:rPr>
        <w:t>is just responsible for managing trust property and applying that property for charitable purposes</w:t>
      </w:r>
      <w:r w:rsidR="00C7086D">
        <w:rPr>
          <w:rFonts w:asciiTheme="minorHAnsi" w:eastAsiaTheme="minorEastAsia" w:hAnsiTheme="minorHAnsi" w:cstheme="minorHAnsi"/>
          <w:sz w:val="22"/>
          <w:szCs w:val="22"/>
          <w:lang w:val="en-US" w:eastAsia="en-US"/>
        </w:rPr>
        <w:t xml:space="preserve"> is</w:t>
      </w:r>
      <w:r w:rsidR="00C7086D" w:rsidRPr="00DD6227">
        <w:rPr>
          <w:rFonts w:asciiTheme="minorHAnsi" w:eastAsiaTheme="minorEastAsia" w:hAnsiTheme="minorHAnsi" w:cstheme="minorHAnsi"/>
          <w:sz w:val="22"/>
          <w:szCs w:val="22"/>
          <w:lang w:val="en-US" w:eastAsia="en-US"/>
        </w:rPr>
        <w:t xml:space="preserve"> </w:t>
      </w:r>
      <w:r w:rsidRPr="00DD6227">
        <w:rPr>
          <w:rFonts w:asciiTheme="minorHAnsi" w:eastAsiaTheme="minorEastAsia" w:hAnsiTheme="minorHAnsi" w:cstheme="minorHAnsi"/>
          <w:sz w:val="22"/>
          <w:szCs w:val="22"/>
          <w:lang w:val="en-US" w:eastAsia="en-US"/>
        </w:rPr>
        <w:t>not an institution.</w:t>
      </w:r>
      <w:r w:rsidRPr="00DD6227">
        <w:rPr>
          <w:rStyle w:val="FootnoteReference"/>
          <w:rFonts w:asciiTheme="minorHAnsi" w:eastAsiaTheme="minorEastAsia" w:hAnsiTheme="minorHAnsi" w:cstheme="minorHAnsi"/>
          <w:sz w:val="22"/>
          <w:szCs w:val="22"/>
          <w:lang w:val="en-US" w:eastAsia="en-US"/>
        </w:rPr>
        <w:footnoteReference w:id="67"/>
      </w:r>
      <w:r w:rsidR="00DB3851">
        <w:rPr>
          <w:rFonts w:asciiTheme="minorHAnsi" w:eastAsiaTheme="minorEastAsia" w:hAnsiTheme="minorHAnsi" w:cstheme="minorHAnsi"/>
          <w:sz w:val="22"/>
          <w:szCs w:val="22"/>
          <w:lang w:val="en-US" w:eastAsia="en-US"/>
        </w:rPr>
        <w:t xml:space="preserve"> In </w:t>
      </w:r>
      <w:r w:rsidR="00DB3851" w:rsidRPr="00F97BEB">
        <w:rPr>
          <w:rFonts w:asciiTheme="minorHAnsi" w:eastAsiaTheme="minorEastAsia" w:hAnsiTheme="minorHAnsi" w:cstheme="minorHAnsi"/>
          <w:i/>
          <w:iCs/>
          <w:sz w:val="22"/>
          <w:szCs w:val="22"/>
          <w:lang w:val="en-US" w:eastAsia="en-US"/>
        </w:rPr>
        <w:t>Trustees of the Indigenous Barristers</w:t>
      </w:r>
      <w:r w:rsidR="00F97BEB" w:rsidRPr="00F97BEB">
        <w:rPr>
          <w:rFonts w:asciiTheme="minorHAnsi" w:eastAsiaTheme="minorEastAsia" w:hAnsiTheme="minorHAnsi" w:cstheme="minorHAnsi"/>
          <w:i/>
          <w:iCs/>
          <w:sz w:val="22"/>
          <w:szCs w:val="22"/>
          <w:lang w:val="en-US" w:eastAsia="en-US"/>
        </w:rPr>
        <w:t>’ Trust v Federal Commissioner of Taxation</w:t>
      </w:r>
      <w:r w:rsidR="00B248AD">
        <w:rPr>
          <w:rFonts w:asciiTheme="minorHAnsi" w:eastAsiaTheme="minorEastAsia" w:hAnsiTheme="minorHAnsi" w:cstheme="minorHAnsi"/>
          <w:sz w:val="22"/>
          <w:szCs w:val="22"/>
          <w:lang w:val="en-US" w:eastAsia="en-US"/>
        </w:rPr>
        <w:t xml:space="preserve"> </w:t>
      </w:r>
      <w:proofErr w:type="spellStart"/>
      <w:r w:rsidR="00F97BEB">
        <w:rPr>
          <w:rFonts w:asciiTheme="minorHAnsi" w:eastAsiaTheme="minorEastAsia" w:hAnsiTheme="minorHAnsi" w:cstheme="minorHAnsi"/>
          <w:sz w:val="22"/>
          <w:szCs w:val="22"/>
          <w:lang w:val="en-US" w:eastAsia="en-US"/>
        </w:rPr>
        <w:t>Gyles</w:t>
      </w:r>
      <w:proofErr w:type="spellEnd"/>
      <w:r w:rsidR="00F97BEB">
        <w:rPr>
          <w:rFonts w:asciiTheme="minorHAnsi" w:eastAsiaTheme="minorEastAsia" w:hAnsiTheme="minorHAnsi" w:cstheme="minorHAnsi"/>
          <w:sz w:val="22"/>
          <w:szCs w:val="22"/>
          <w:lang w:val="en-US" w:eastAsia="en-US"/>
        </w:rPr>
        <w:t xml:space="preserve"> J stated:</w:t>
      </w:r>
    </w:p>
    <w:p w14:paraId="4C06451F" w14:textId="36E01532" w:rsidR="00F97BEB" w:rsidRPr="00CA687E" w:rsidRDefault="00F97BEB" w:rsidP="00F97BEB">
      <w:pPr>
        <w:pStyle w:val="ListParagraph"/>
        <w:spacing w:before="120" w:after="120" w:line="276" w:lineRule="auto"/>
        <w:ind w:left="1440"/>
        <w:textAlignment w:val="baseline"/>
        <w:rPr>
          <w:rFonts w:asciiTheme="minorHAnsi" w:eastAsiaTheme="minorEastAsia" w:hAnsiTheme="minorHAnsi" w:cstheme="minorHAnsi"/>
          <w:sz w:val="22"/>
          <w:szCs w:val="22"/>
          <w:lang w:val="en-US" w:eastAsia="en-US"/>
        </w:rPr>
      </w:pPr>
      <w:r w:rsidRPr="00CA687E">
        <w:rPr>
          <w:rFonts w:asciiTheme="minorHAnsi" w:eastAsiaTheme="minorEastAsia" w:hAnsiTheme="minorHAnsi" w:cstheme="minorHAnsi"/>
          <w:sz w:val="22"/>
          <w:szCs w:val="22"/>
          <w:lang w:val="en-US" w:eastAsia="en-US"/>
        </w:rPr>
        <w:t>In my opinion, a body cannot be a public benevolent institution unless it can be identified as carrying on activities or providing services relevant to the benevolent purpose. In my view, a trust fund administered by trustees who provide money in order that services provided by others can be availed of is not an institution in this sense.</w:t>
      </w:r>
      <w:r w:rsidR="00985781" w:rsidRPr="00CA687E">
        <w:rPr>
          <w:rStyle w:val="FootnoteReference"/>
          <w:rFonts w:asciiTheme="minorHAnsi" w:eastAsiaTheme="minorEastAsia" w:hAnsiTheme="minorHAnsi" w:cstheme="minorHAnsi"/>
          <w:sz w:val="22"/>
          <w:szCs w:val="22"/>
          <w:lang w:val="en-US" w:eastAsia="en-US"/>
        </w:rPr>
        <w:footnoteReference w:id="68"/>
      </w:r>
    </w:p>
    <w:p w14:paraId="7C5E568D" w14:textId="769787BC" w:rsidR="006423DA" w:rsidRPr="00DD6227" w:rsidRDefault="006423DA"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Incorporation alone </w:t>
      </w:r>
      <w:r w:rsidR="00075149">
        <w:rPr>
          <w:rFonts w:asciiTheme="minorHAnsi" w:eastAsiaTheme="minorEastAsia" w:hAnsiTheme="minorHAnsi" w:cstheme="minorHAnsi"/>
          <w:sz w:val="22"/>
          <w:szCs w:val="22"/>
          <w:lang w:val="en-US" w:eastAsia="en-US"/>
        </w:rPr>
        <w:t>is</w:t>
      </w:r>
      <w:r w:rsidR="00075149" w:rsidRPr="00DD6227">
        <w:rPr>
          <w:rFonts w:asciiTheme="minorHAnsi" w:eastAsiaTheme="minorEastAsia" w:hAnsiTheme="minorHAnsi" w:cstheme="minorHAnsi"/>
          <w:sz w:val="22"/>
          <w:szCs w:val="22"/>
          <w:lang w:val="en-US" w:eastAsia="en-US"/>
        </w:rPr>
        <w:t xml:space="preserve"> </w:t>
      </w:r>
      <w:r w:rsidRPr="00DD6227">
        <w:rPr>
          <w:rFonts w:asciiTheme="minorHAnsi" w:eastAsiaTheme="minorEastAsia" w:hAnsiTheme="minorHAnsi" w:cstheme="minorHAnsi"/>
          <w:sz w:val="22"/>
          <w:szCs w:val="22"/>
          <w:lang w:val="en-US" w:eastAsia="en-US"/>
        </w:rPr>
        <w:t>not enough for a charity to demonstrate that it is an institution.</w:t>
      </w:r>
      <w:r w:rsidRPr="00DD6227">
        <w:rPr>
          <w:rStyle w:val="FootnoteReference"/>
          <w:rFonts w:asciiTheme="minorHAnsi" w:eastAsiaTheme="minorEastAsia" w:hAnsiTheme="minorHAnsi" w:cstheme="minorHAnsi"/>
          <w:sz w:val="22"/>
          <w:szCs w:val="22"/>
          <w:lang w:val="en-US" w:eastAsia="en-US"/>
        </w:rPr>
        <w:footnoteReference w:id="69"/>
      </w:r>
      <w:r w:rsidRPr="00DD6227">
        <w:rPr>
          <w:rFonts w:asciiTheme="minorHAnsi" w:eastAsiaTheme="minorEastAsia" w:hAnsiTheme="minorHAnsi" w:cstheme="minorHAnsi"/>
          <w:sz w:val="22"/>
          <w:szCs w:val="22"/>
          <w:lang w:val="en-US" w:eastAsia="en-US"/>
        </w:rPr>
        <w:t xml:space="preserve"> For example, a body incorporated only to be the corporate trustee for a charitable trust </w:t>
      </w:r>
      <w:r w:rsidR="00075149">
        <w:rPr>
          <w:rFonts w:asciiTheme="minorHAnsi" w:eastAsiaTheme="minorEastAsia" w:hAnsiTheme="minorHAnsi" w:cstheme="minorHAnsi"/>
          <w:sz w:val="22"/>
          <w:szCs w:val="22"/>
          <w:lang w:val="en-US" w:eastAsia="en-US"/>
        </w:rPr>
        <w:t xml:space="preserve">is </w:t>
      </w:r>
      <w:r w:rsidRPr="00DD6227">
        <w:rPr>
          <w:rFonts w:asciiTheme="minorHAnsi" w:eastAsiaTheme="minorEastAsia" w:hAnsiTheme="minorHAnsi" w:cstheme="minorHAnsi"/>
          <w:sz w:val="22"/>
          <w:szCs w:val="22"/>
          <w:lang w:val="en-US" w:eastAsia="en-US"/>
        </w:rPr>
        <w:t>not an institution.</w:t>
      </w:r>
      <w:r w:rsidRPr="00DD6227">
        <w:rPr>
          <w:rStyle w:val="FootnoteReference"/>
          <w:rFonts w:asciiTheme="minorHAnsi" w:eastAsiaTheme="minorEastAsia" w:hAnsiTheme="minorHAnsi" w:cstheme="minorHAnsi"/>
          <w:sz w:val="22"/>
          <w:szCs w:val="22"/>
          <w:lang w:val="en-US" w:eastAsia="en-US"/>
        </w:rPr>
        <w:footnoteReference w:id="70"/>
      </w:r>
    </w:p>
    <w:p w14:paraId="4A2B55FC" w14:textId="77777777" w:rsidR="006423DA" w:rsidRPr="00DD6227" w:rsidRDefault="006423DA"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A charity can demonstrate that it is an institution by:</w:t>
      </w:r>
    </w:p>
    <w:p w14:paraId="7B8E7AA3" w14:textId="578EBD2F" w:rsidR="006423DA" w:rsidRPr="00DD6227" w:rsidRDefault="006423DA" w:rsidP="005F2D83">
      <w:pPr>
        <w:pStyle w:val="ListParagraph"/>
        <w:numPr>
          <w:ilvl w:val="1"/>
          <w:numId w:val="3"/>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describing its activities, to show that it does more than merely manage trust property and make distributions</w:t>
      </w:r>
      <w:r w:rsidR="00613A5A">
        <w:rPr>
          <w:rFonts w:asciiTheme="minorHAnsi" w:eastAsiaTheme="minorEastAsia" w:hAnsiTheme="minorHAnsi" w:cstheme="minorHAnsi"/>
          <w:sz w:val="22"/>
          <w:szCs w:val="22"/>
          <w:lang w:val="en-US" w:eastAsia="en-US"/>
        </w:rPr>
        <w:t>; and</w:t>
      </w:r>
    </w:p>
    <w:p w14:paraId="2403B41B" w14:textId="2249E39A" w:rsidR="006423DA" w:rsidRPr="00DD6227" w:rsidRDefault="006423DA" w:rsidP="005F2D83">
      <w:pPr>
        <w:pStyle w:val="ListParagraph"/>
        <w:numPr>
          <w:ilvl w:val="1"/>
          <w:numId w:val="3"/>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explaining why its activities are</w:t>
      </w:r>
      <w:r w:rsidR="009C6D1E" w:rsidRPr="00DD6227">
        <w:rPr>
          <w:rFonts w:asciiTheme="minorHAnsi" w:eastAsiaTheme="minorEastAsia" w:hAnsiTheme="minorHAnsi" w:cstheme="minorHAnsi"/>
          <w:sz w:val="22"/>
          <w:szCs w:val="22"/>
          <w:lang w:val="en-US" w:eastAsia="en-US"/>
        </w:rPr>
        <w:t xml:space="preserve"> </w:t>
      </w:r>
      <w:r w:rsidR="006B2E41" w:rsidRPr="00DD6227">
        <w:rPr>
          <w:rFonts w:asciiTheme="minorHAnsi" w:eastAsiaTheme="minorEastAsia" w:hAnsiTheme="minorHAnsi" w:cstheme="minorHAnsi"/>
          <w:sz w:val="22"/>
          <w:szCs w:val="22"/>
          <w:lang w:val="en-US" w:eastAsia="en-US"/>
        </w:rPr>
        <w:t>beneficial to the community (it usually do</w:t>
      </w:r>
      <w:r w:rsidR="00F74DE2">
        <w:rPr>
          <w:rFonts w:asciiTheme="minorHAnsi" w:eastAsiaTheme="minorEastAsia" w:hAnsiTheme="minorHAnsi" w:cstheme="minorHAnsi"/>
          <w:sz w:val="22"/>
          <w:szCs w:val="22"/>
          <w:lang w:val="en-US" w:eastAsia="en-US"/>
        </w:rPr>
        <w:t>es</w:t>
      </w:r>
      <w:r w:rsidR="006B2E41" w:rsidRPr="00DD6227">
        <w:rPr>
          <w:rFonts w:asciiTheme="minorHAnsi" w:eastAsiaTheme="minorEastAsia" w:hAnsiTheme="minorHAnsi" w:cstheme="minorHAnsi"/>
          <w:sz w:val="22"/>
          <w:szCs w:val="22"/>
          <w:lang w:val="en-US" w:eastAsia="en-US"/>
        </w:rPr>
        <w:t xml:space="preserve"> this as part of demonstrating that it is ‘benevolent’).</w:t>
      </w:r>
    </w:p>
    <w:p w14:paraId="3D213112" w14:textId="4A831859" w:rsidR="006423DA" w:rsidRPr="00DD6227" w:rsidRDefault="006423DA"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A charity that is just starting up and </w:t>
      </w:r>
      <w:r w:rsidR="00F74DE2" w:rsidRPr="00DD6227">
        <w:rPr>
          <w:rFonts w:asciiTheme="minorHAnsi" w:eastAsiaTheme="minorEastAsia" w:hAnsiTheme="minorHAnsi" w:cstheme="minorHAnsi"/>
          <w:sz w:val="22"/>
          <w:szCs w:val="22"/>
          <w:lang w:val="en-US" w:eastAsia="en-US"/>
        </w:rPr>
        <w:t>has not</w:t>
      </w:r>
      <w:r w:rsidRPr="00DD6227">
        <w:rPr>
          <w:rFonts w:asciiTheme="minorHAnsi" w:eastAsiaTheme="minorEastAsia" w:hAnsiTheme="minorHAnsi" w:cstheme="minorHAnsi"/>
          <w:sz w:val="22"/>
          <w:szCs w:val="22"/>
          <w:lang w:val="en-US" w:eastAsia="en-US"/>
        </w:rPr>
        <w:t xml:space="preserve"> yet </w:t>
      </w:r>
      <w:r w:rsidR="00F74DE2">
        <w:rPr>
          <w:rFonts w:asciiTheme="minorHAnsi" w:eastAsiaTheme="minorEastAsia" w:hAnsiTheme="minorHAnsi" w:cstheme="minorHAnsi"/>
          <w:sz w:val="22"/>
          <w:szCs w:val="22"/>
          <w:lang w:val="en-US" w:eastAsia="en-US"/>
        </w:rPr>
        <w:t>undertaken</w:t>
      </w:r>
      <w:r w:rsidR="00F74DE2" w:rsidRPr="00DD6227">
        <w:rPr>
          <w:rFonts w:asciiTheme="minorHAnsi" w:eastAsiaTheme="minorEastAsia" w:hAnsiTheme="minorHAnsi" w:cstheme="minorHAnsi"/>
          <w:sz w:val="22"/>
          <w:szCs w:val="22"/>
          <w:lang w:val="en-US" w:eastAsia="en-US"/>
        </w:rPr>
        <w:t xml:space="preserve"> </w:t>
      </w:r>
      <w:r w:rsidRPr="00DD6227">
        <w:rPr>
          <w:rFonts w:asciiTheme="minorHAnsi" w:eastAsiaTheme="minorEastAsia" w:hAnsiTheme="minorHAnsi" w:cstheme="minorHAnsi"/>
          <w:sz w:val="22"/>
          <w:szCs w:val="22"/>
          <w:lang w:val="en-US" w:eastAsia="en-US"/>
        </w:rPr>
        <w:t>any activities could demonstrate that it is an institution</w:t>
      </w:r>
      <w:r w:rsidR="0098172B" w:rsidRPr="00DD6227">
        <w:rPr>
          <w:rFonts w:asciiTheme="minorHAnsi" w:eastAsiaTheme="minorEastAsia" w:hAnsiTheme="minorHAnsi" w:cstheme="minorHAnsi"/>
          <w:sz w:val="22"/>
          <w:szCs w:val="22"/>
          <w:lang w:val="en-US" w:eastAsia="en-US"/>
        </w:rPr>
        <w:t xml:space="preserve"> by </w:t>
      </w:r>
      <w:r w:rsidRPr="00DD6227">
        <w:rPr>
          <w:rFonts w:asciiTheme="minorHAnsi" w:eastAsiaTheme="minorEastAsia" w:hAnsiTheme="minorHAnsi" w:cstheme="minorHAnsi"/>
          <w:sz w:val="22"/>
          <w:szCs w:val="22"/>
          <w:lang w:val="en-US" w:eastAsia="en-US"/>
        </w:rPr>
        <w:t>provid</w:t>
      </w:r>
      <w:r w:rsidR="0098172B" w:rsidRPr="00DD6227">
        <w:rPr>
          <w:rFonts w:asciiTheme="minorHAnsi" w:eastAsiaTheme="minorEastAsia" w:hAnsiTheme="minorHAnsi" w:cstheme="minorHAnsi"/>
          <w:sz w:val="22"/>
          <w:szCs w:val="22"/>
          <w:lang w:val="en-US" w:eastAsia="en-US"/>
        </w:rPr>
        <w:t>ing</w:t>
      </w:r>
      <w:r w:rsidRPr="00DD6227">
        <w:rPr>
          <w:rFonts w:asciiTheme="minorHAnsi" w:eastAsiaTheme="minorEastAsia" w:hAnsiTheme="minorHAnsi" w:cstheme="minorHAnsi"/>
          <w:sz w:val="22"/>
          <w:szCs w:val="22"/>
          <w:lang w:val="en-US" w:eastAsia="en-US"/>
        </w:rPr>
        <w:t xml:space="preserve"> a detailed plan of the activities it is going to undertake over its first year of operation. The plan should include: </w:t>
      </w:r>
    </w:p>
    <w:p w14:paraId="3D646165" w14:textId="37E9AFB6" w:rsidR="006423DA" w:rsidRPr="00DD6227" w:rsidRDefault="006423DA" w:rsidP="005F2D83">
      <w:pPr>
        <w:pStyle w:val="ListParagraph"/>
        <w:numPr>
          <w:ilvl w:val="1"/>
          <w:numId w:val="3"/>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a description of the activities the charity plans to </w:t>
      </w:r>
      <w:r w:rsidR="006768ED">
        <w:rPr>
          <w:rFonts w:asciiTheme="minorHAnsi" w:eastAsiaTheme="minorEastAsia" w:hAnsiTheme="minorHAnsi" w:cstheme="minorHAnsi"/>
          <w:sz w:val="22"/>
          <w:szCs w:val="22"/>
          <w:lang w:val="en-US" w:eastAsia="en-US"/>
        </w:rPr>
        <w:t>u</w:t>
      </w:r>
      <w:r w:rsidR="00BC0871">
        <w:rPr>
          <w:rFonts w:asciiTheme="minorHAnsi" w:eastAsiaTheme="minorEastAsia" w:hAnsiTheme="minorHAnsi" w:cstheme="minorHAnsi"/>
          <w:sz w:val="22"/>
          <w:szCs w:val="22"/>
          <w:lang w:val="en-US" w:eastAsia="en-US"/>
        </w:rPr>
        <w:t>ndertake</w:t>
      </w:r>
      <w:r w:rsidR="006B2E41" w:rsidRPr="00DD6227">
        <w:rPr>
          <w:rFonts w:asciiTheme="minorHAnsi" w:eastAsiaTheme="minorEastAsia" w:hAnsiTheme="minorHAnsi" w:cstheme="minorHAnsi"/>
          <w:sz w:val="22"/>
          <w:szCs w:val="22"/>
          <w:lang w:val="en-US" w:eastAsia="en-US"/>
        </w:rPr>
        <w:t xml:space="preserve"> and the people who will benefit from its </w:t>
      </w:r>
      <w:proofErr w:type="gramStart"/>
      <w:r w:rsidR="006B2E41" w:rsidRPr="00DD6227">
        <w:rPr>
          <w:rFonts w:asciiTheme="minorHAnsi" w:eastAsiaTheme="minorEastAsia" w:hAnsiTheme="minorHAnsi" w:cstheme="minorHAnsi"/>
          <w:sz w:val="22"/>
          <w:szCs w:val="22"/>
          <w:lang w:val="en-US" w:eastAsia="en-US"/>
        </w:rPr>
        <w:t>activities</w:t>
      </w:r>
      <w:r w:rsidR="00397C48">
        <w:rPr>
          <w:rFonts w:asciiTheme="minorHAnsi" w:eastAsiaTheme="minorEastAsia" w:hAnsiTheme="minorHAnsi" w:cstheme="minorHAnsi"/>
          <w:sz w:val="22"/>
          <w:szCs w:val="22"/>
          <w:lang w:val="en-US" w:eastAsia="en-US"/>
        </w:rPr>
        <w:t>;</w:t>
      </w:r>
      <w:proofErr w:type="gramEnd"/>
    </w:p>
    <w:p w14:paraId="4EF94212" w14:textId="6809D555" w:rsidR="006423DA" w:rsidRPr="00DD6227" w:rsidRDefault="006423DA" w:rsidP="005F2D83">
      <w:pPr>
        <w:pStyle w:val="ListParagraph"/>
        <w:numPr>
          <w:ilvl w:val="1"/>
          <w:numId w:val="3"/>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lastRenderedPageBreak/>
        <w:t xml:space="preserve">the staff (or volunteers) and funds the charity </w:t>
      </w:r>
      <w:r w:rsidR="00EF7F3C">
        <w:rPr>
          <w:rFonts w:asciiTheme="minorHAnsi" w:eastAsiaTheme="minorEastAsia" w:hAnsiTheme="minorHAnsi" w:cstheme="minorHAnsi"/>
          <w:sz w:val="22"/>
          <w:szCs w:val="22"/>
          <w:lang w:val="en-US" w:eastAsia="en-US"/>
        </w:rPr>
        <w:t>needs</w:t>
      </w:r>
      <w:r w:rsidRPr="00DD6227">
        <w:rPr>
          <w:rFonts w:asciiTheme="minorHAnsi" w:eastAsiaTheme="minorEastAsia" w:hAnsiTheme="minorHAnsi" w:cstheme="minorHAnsi"/>
          <w:sz w:val="22"/>
          <w:szCs w:val="22"/>
          <w:lang w:val="en-US" w:eastAsia="en-US"/>
        </w:rPr>
        <w:t xml:space="preserve"> to </w:t>
      </w:r>
      <w:r w:rsidR="00EF7F3C">
        <w:rPr>
          <w:rFonts w:asciiTheme="minorHAnsi" w:eastAsiaTheme="minorEastAsia" w:hAnsiTheme="minorHAnsi" w:cstheme="minorHAnsi"/>
          <w:sz w:val="22"/>
          <w:szCs w:val="22"/>
          <w:lang w:val="en-US" w:eastAsia="en-US"/>
        </w:rPr>
        <w:t>undertake</w:t>
      </w:r>
      <w:r w:rsidRPr="00DD6227">
        <w:rPr>
          <w:rFonts w:asciiTheme="minorHAnsi" w:eastAsiaTheme="minorEastAsia" w:hAnsiTheme="minorHAnsi" w:cstheme="minorHAnsi"/>
          <w:sz w:val="22"/>
          <w:szCs w:val="22"/>
          <w:lang w:val="en-US" w:eastAsia="en-US"/>
        </w:rPr>
        <w:t xml:space="preserve"> its </w:t>
      </w:r>
      <w:proofErr w:type="gramStart"/>
      <w:r w:rsidRPr="00DD6227">
        <w:rPr>
          <w:rFonts w:asciiTheme="minorHAnsi" w:eastAsiaTheme="minorEastAsia" w:hAnsiTheme="minorHAnsi" w:cstheme="minorHAnsi"/>
          <w:sz w:val="22"/>
          <w:szCs w:val="22"/>
          <w:lang w:val="en-US" w:eastAsia="en-US"/>
        </w:rPr>
        <w:t>activities</w:t>
      </w:r>
      <w:r w:rsidR="00397C48">
        <w:rPr>
          <w:rFonts w:asciiTheme="minorHAnsi" w:eastAsiaTheme="minorEastAsia" w:hAnsiTheme="minorHAnsi" w:cstheme="minorHAnsi"/>
          <w:sz w:val="22"/>
          <w:szCs w:val="22"/>
          <w:lang w:val="en-US" w:eastAsia="en-US"/>
        </w:rPr>
        <w:t>;</w:t>
      </w:r>
      <w:proofErr w:type="gramEnd"/>
    </w:p>
    <w:p w14:paraId="4B689956" w14:textId="5C4A158A" w:rsidR="006423DA" w:rsidRPr="00DD6227" w:rsidRDefault="006423DA" w:rsidP="005F2D83">
      <w:pPr>
        <w:pStyle w:val="ListParagraph"/>
        <w:numPr>
          <w:ilvl w:val="1"/>
          <w:numId w:val="3"/>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where the charity plans to obtain the </w:t>
      </w:r>
      <w:proofErr w:type="gramStart"/>
      <w:r w:rsidRPr="00DD6227">
        <w:rPr>
          <w:rFonts w:asciiTheme="minorHAnsi" w:eastAsiaTheme="minorEastAsia" w:hAnsiTheme="minorHAnsi" w:cstheme="minorHAnsi"/>
          <w:sz w:val="22"/>
          <w:szCs w:val="22"/>
          <w:lang w:val="en-US" w:eastAsia="en-US"/>
        </w:rPr>
        <w:t>funds</w:t>
      </w:r>
      <w:proofErr w:type="gramEnd"/>
      <w:r w:rsidRPr="00DD6227">
        <w:rPr>
          <w:rFonts w:asciiTheme="minorHAnsi" w:eastAsiaTheme="minorEastAsia" w:hAnsiTheme="minorHAnsi" w:cstheme="minorHAnsi"/>
          <w:sz w:val="22"/>
          <w:szCs w:val="22"/>
          <w:lang w:val="en-US" w:eastAsia="en-US"/>
        </w:rPr>
        <w:t xml:space="preserve"> it needs to </w:t>
      </w:r>
      <w:r w:rsidR="00EF7F3C">
        <w:rPr>
          <w:rFonts w:asciiTheme="minorHAnsi" w:eastAsiaTheme="minorEastAsia" w:hAnsiTheme="minorHAnsi" w:cstheme="minorHAnsi"/>
          <w:sz w:val="22"/>
          <w:szCs w:val="22"/>
          <w:lang w:val="en-US" w:eastAsia="en-US"/>
        </w:rPr>
        <w:t>undertake</w:t>
      </w:r>
      <w:r w:rsidRPr="00DD6227">
        <w:rPr>
          <w:rFonts w:asciiTheme="minorHAnsi" w:eastAsiaTheme="minorEastAsia" w:hAnsiTheme="minorHAnsi" w:cstheme="minorHAnsi"/>
          <w:sz w:val="22"/>
          <w:szCs w:val="22"/>
          <w:lang w:val="en-US" w:eastAsia="en-US"/>
        </w:rPr>
        <w:t xml:space="preserve"> its activities</w:t>
      </w:r>
      <w:r w:rsidR="00996F34">
        <w:rPr>
          <w:rFonts w:asciiTheme="minorHAnsi" w:eastAsiaTheme="minorEastAsia" w:hAnsiTheme="minorHAnsi" w:cstheme="minorHAnsi"/>
          <w:sz w:val="22"/>
          <w:szCs w:val="22"/>
          <w:lang w:val="en-US" w:eastAsia="en-US"/>
        </w:rPr>
        <w:t>; and</w:t>
      </w:r>
    </w:p>
    <w:p w14:paraId="06CF4832" w14:textId="21292C0C" w:rsidR="006423DA" w:rsidRPr="00DD6227" w:rsidRDefault="006423DA" w:rsidP="005F2D83">
      <w:pPr>
        <w:pStyle w:val="ListParagraph"/>
        <w:numPr>
          <w:ilvl w:val="1"/>
          <w:numId w:val="3"/>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 xml:space="preserve">an explanation of how often the charity will </w:t>
      </w:r>
      <w:r w:rsidR="00EF7F3C">
        <w:rPr>
          <w:rFonts w:asciiTheme="minorHAnsi" w:eastAsiaTheme="minorEastAsia" w:hAnsiTheme="minorHAnsi" w:cstheme="minorHAnsi"/>
          <w:sz w:val="22"/>
          <w:szCs w:val="22"/>
          <w:lang w:val="en-US" w:eastAsia="en-US"/>
        </w:rPr>
        <w:t>undertake</w:t>
      </w:r>
      <w:r w:rsidRPr="00DD6227">
        <w:rPr>
          <w:rFonts w:asciiTheme="minorHAnsi" w:eastAsiaTheme="minorEastAsia" w:hAnsiTheme="minorHAnsi" w:cstheme="minorHAnsi"/>
          <w:sz w:val="22"/>
          <w:szCs w:val="22"/>
          <w:lang w:val="en-US" w:eastAsia="en-US"/>
        </w:rPr>
        <w:t xml:space="preserve"> its activities.</w:t>
      </w:r>
    </w:p>
    <w:p w14:paraId="7F1BF0EA" w14:textId="438B84D4" w:rsidR="003F5A23" w:rsidRPr="00DD6227" w:rsidRDefault="00EF56C3" w:rsidP="00EC09E6">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DD6227">
        <w:rPr>
          <w:rFonts w:asciiTheme="minorHAnsi" w:eastAsiaTheme="minorEastAsia" w:hAnsiTheme="minorHAnsi" w:cstheme="minorHAnsi"/>
          <w:sz w:val="22"/>
          <w:szCs w:val="22"/>
          <w:lang w:val="en-US" w:eastAsia="en-US"/>
        </w:rPr>
        <w:t>The more clearly a start-up charity d</w:t>
      </w:r>
      <w:r w:rsidR="004B63B4" w:rsidRPr="00DD6227">
        <w:rPr>
          <w:rFonts w:asciiTheme="minorHAnsi" w:eastAsiaTheme="minorEastAsia" w:hAnsiTheme="minorHAnsi" w:cstheme="minorHAnsi"/>
          <w:sz w:val="22"/>
          <w:szCs w:val="22"/>
          <w:lang w:val="en-US" w:eastAsia="en-US"/>
        </w:rPr>
        <w:t xml:space="preserve">escribes </w:t>
      </w:r>
      <w:r w:rsidR="00E154D5" w:rsidRPr="00DD6227">
        <w:rPr>
          <w:rFonts w:asciiTheme="minorHAnsi" w:eastAsiaTheme="minorEastAsia" w:hAnsiTheme="minorHAnsi" w:cstheme="minorHAnsi"/>
          <w:sz w:val="22"/>
          <w:szCs w:val="22"/>
          <w:lang w:val="en-US" w:eastAsia="en-US"/>
        </w:rPr>
        <w:t>how</w:t>
      </w:r>
      <w:r w:rsidRPr="00DD6227">
        <w:rPr>
          <w:rFonts w:asciiTheme="minorHAnsi" w:eastAsiaTheme="minorEastAsia" w:hAnsiTheme="minorHAnsi" w:cstheme="minorHAnsi"/>
          <w:sz w:val="22"/>
          <w:szCs w:val="22"/>
          <w:lang w:val="en-US" w:eastAsia="en-US"/>
        </w:rPr>
        <w:t xml:space="preserve"> it is going to achieve its</w:t>
      </w:r>
      <w:r w:rsidR="00E154D5" w:rsidRPr="00DD6227">
        <w:rPr>
          <w:rFonts w:asciiTheme="minorHAnsi" w:eastAsiaTheme="minorEastAsia" w:hAnsiTheme="minorHAnsi" w:cstheme="minorHAnsi"/>
          <w:sz w:val="22"/>
          <w:szCs w:val="22"/>
          <w:lang w:val="en-US" w:eastAsia="en-US"/>
        </w:rPr>
        <w:t xml:space="preserve"> </w:t>
      </w:r>
      <w:r w:rsidR="00D20D8C">
        <w:rPr>
          <w:rFonts w:asciiTheme="minorHAnsi" w:eastAsiaTheme="minorEastAsia" w:hAnsiTheme="minorHAnsi" w:cstheme="minorHAnsi"/>
          <w:sz w:val="22"/>
          <w:szCs w:val="22"/>
          <w:lang w:val="en-US" w:eastAsia="en-US"/>
        </w:rPr>
        <w:t xml:space="preserve">purpose of </w:t>
      </w:r>
      <w:r w:rsidR="00E154D5" w:rsidRPr="00DD6227">
        <w:rPr>
          <w:rFonts w:asciiTheme="minorHAnsi" w:eastAsiaTheme="minorEastAsia" w:hAnsiTheme="minorHAnsi" w:cstheme="minorHAnsi"/>
          <w:sz w:val="22"/>
          <w:szCs w:val="22"/>
          <w:lang w:val="en-US" w:eastAsia="en-US"/>
        </w:rPr>
        <w:t>benevolent relief</w:t>
      </w:r>
      <w:r w:rsidRPr="00DD6227">
        <w:rPr>
          <w:rFonts w:asciiTheme="minorHAnsi" w:eastAsiaTheme="minorEastAsia" w:hAnsiTheme="minorHAnsi" w:cstheme="minorHAnsi"/>
          <w:sz w:val="22"/>
          <w:szCs w:val="22"/>
          <w:lang w:val="en-US" w:eastAsia="en-US"/>
        </w:rPr>
        <w:t>, the more likely it will be able to demonstrate it is an institution.</w:t>
      </w:r>
    </w:p>
    <w:p w14:paraId="09B37360" w14:textId="1C7168C8" w:rsidR="00D50C2F" w:rsidRPr="00DD6227" w:rsidRDefault="00D50C2F" w:rsidP="006423DA">
      <w:pPr>
        <w:spacing w:before="120" w:after="120" w:line="276" w:lineRule="auto"/>
        <w:textAlignment w:val="baseline"/>
        <w:rPr>
          <w:rFonts w:asciiTheme="minorHAnsi" w:eastAsiaTheme="minorEastAsia" w:hAnsiTheme="minorHAnsi" w:cstheme="minorHAnsi"/>
          <w:color w:val="2F5496"/>
          <w:sz w:val="28"/>
          <w:szCs w:val="28"/>
          <w:lang w:val="en-US" w:eastAsia="en-US"/>
        </w:rPr>
      </w:pPr>
      <w:r w:rsidRPr="00DD6227">
        <w:rPr>
          <w:rFonts w:asciiTheme="minorHAnsi" w:eastAsiaTheme="minorEastAsia" w:hAnsiTheme="minorHAnsi" w:cstheme="minorHAnsi"/>
          <w:color w:val="2F5496"/>
          <w:sz w:val="28"/>
          <w:szCs w:val="28"/>
          <w:lang w:val="en-US" w:eastAsia="en-US"/>
        </w:rPr>
        <w:t xml:space="preserve">How </w:t>
      </w:r>
      <w:r w:rsidR="00033B21">
        <w:rPr>
          <w:rFonts w:asciiTheme="minorHAnsi" w:eastAsiaTheme="minorEastAsia" w:hAnsiTheme="minorHAnsi" w:cstheme="minorHAnsi"/>
          <w:color w:val="2F5496"/>
          <w:sz w:val="28"/>
          <w:szCs w:val="28"/>
          <w:lang w:val="en-US" w:eastAsia="en-US"/>
        </w:rPr>
        <w:t>we</w:t>
      </w:r>
      <w:r w:rsidRPr="00DD6227">
        <w:rPr>
          <w:rFonts w:asciiTheme="minorHAnsi" w:eastAsiaTheme="minorEastAsia" w:hAnsiTheme="minorHAnsi" w:cstheme="minorHAnsi"/>
          <w:color w:val="2F5496"/>
          <w:sz w:val="28"/>
          <w:szCs w:val="28"/>
          <w:lang w:val="en-US" w:eastAsia="en-US"/>
        </w:rPr>
        <w:t xml:space="preserve"> assess whether a charity is a PBI</w:t>
      </w:r>
    </w:p>
    <w:p w14:paraId="6EA15A2D" w14:textId="291355A0" w:rsidR="009F7EB1" w:rsidRPr="000C1D9A" w:rsidRDefault="00033B21" w:rsidP="000C1D9A">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bookmarkStart w:id="0" w:name="_Ref443661316"/>
      <w:r>
        <w:rPr>
          <w:rFonts w:asciiTheme="minorHAnsi" w:eastAsiaTheme="minorEastAsia" w:hAnsiTheme="minorHAnsi" w:cstheme="minorHAnsi"/>
          <w:sz w:val="22"/>
          <w:szCs w:val="22"/>
          <w:lang w:val="en-US" w:eastAsia="en-US"/>
        </w:rPr>
        <w:t>We</w:t>
      </w:r>
      <w:r w:rsidR="009F7EB1" w:rsidRPr="000C1D9A">
        <w:rPr>
          <w:rFonts w:asciiTheme="minorHAnsi" w:eastAsiaTheme="minorEastAsia" w:hAnsiTheme="minorHAnsi" w:cstheme="minorHAnsi"/>
          <w:sz w:val="22"/>
          <w:szCs w:val="22"/>
          <w:lang w:val="en-US" w:eastAsia="en-US"/>
        </w:rPr>
        <w:t xml:space="preserve"> consider a range of </w:t>
      </w:r>
      <w:r w:rsidR="00402FB0" w:rsidRPr="000C1D9A">
        <w:rPr>
          <w:rFonts w:asciiTheme="minorHAnsi" w:eastAsiaTheme="minorEastAsia" w:hAnsiTheme="minorHAnsi" w:cstheme="minorHAnsi"/>
          <w:sz w:val="22"/>
          <w:szCs w:val="22"/>
          <w:lang w:val="en-US" w:eastAsia="en-US"/>
        </w:rPr>
        <w:t xml:space="preserve">information to determine whether a charity meets </w:t>
      </w:r>
      <w:r w:rsidR="00E85524" w:rsidRPr="000C1D9A">
        <w:rPr>
          <w:rFonts w:asciiTheme="minorHAnsi" w:eastAsiaTheme="minorEastAsia" w:hAnsiTheme="minorHAnsi" w:cstheme="minorHAnsi"/>
          <w:sz w:val="22"/>
          <w:szCs w:val="22"/>
          <w:lang w:val="en-US" w:eastAsia="en-US"/>
        </w:rPr>
        <w:t xml:space="preserve">the requirements to be registered </w:t>
      </w:r>
      <w:r>
        <w:rPr>
          <w:rFonts w:asciiTheme="minorHAnsi" w:eastAsiaTheme="minorEastAsia" w:hAnsiTheme="minorHAnsi" w:cstheme="minorHAnsi"/>
          <w:sz w:val="22"/>
          <w:szCs w:val="22"/>
          <w:lang w:val="en-US" w:eastAsia="en-US"/>
        </w:rPr>
        <w:t>as a</w:t>
      </w:r>
      <w:r w:rsidR="00402FB0" w:rsidRPr="000C1D9A">
        <w:rPr>
          <w:rFonts w:asciiTheme="minorHAnsi" w:eastAsiaTheme="minorEastAsia" w:hAnsiTheme="minorHAnsi" w:cstheme="minorHAnsi"/>
          <w:sz w:val="22"/>
          <w:szCs w:val="22"/>
          <w:lang w:val="en-US" w:eastAsia="en-US"/>
        </w:rPr>
        <w:t xml:space="preserve"> PBI</w:t>
      </w:r>
      <w:r>
        <w:rPr>
          <w:rFonts w:asciiTheme="minorHAnsi" w:eastAsiaTheme="minorEastAsia" w:hAnsiTheme="minorHAnsi" w:cstheme="minorHAnsi"/>
          <w:sz w:val="22"/>
          <w:szCs w:val="22"/>
          <w:lang w:val="en-US" w:eastAsia="en-US"/>
        </w:rPr>
        <w:t>. This</w:t>
      </w:r>
      <w:r w:rsidR="00402FB0" w:rsidRPr="000C1D9A">
        <w:rPr>
          <w:rFonts w:asciiTheme="minorHAnsi" w:eastAsiaTheme="minorEastAsia" w:hAnsiTheme="minorHAnsi" w:cstheme="minorHAnsi"/>
          <w:sz w:val="22"/>
          <w:szCs w:val="22"/>
          <w:lang w:val="en-US" w:eastAsia="en-US"/>
        </w:rPr>
        <w:t xml:space="preserve"> includ</w:t>
      </w:r>
      <w:r>
        <w:rPr>
          <w:rFonts w:asciiTheme="minorHAnsi" w:eastAsiaTheme="minorEastAsia" w:hAnsiTheme="minorHAnsi" w:cstheme="minorHAnsi"/>
          <w:sz w:val="22"/>
          <w:szCs w:val="22"/>
          <w:lang w:val="en-US" w:eastAsia="en-US"/>
        </w:rPr>
        <w:t>es</w:t>
      </w:r>
      <w:r w:rsidR="00402FB0" w:rsidRPr="000C1D9A">
        <w:rPr>
          <w:rFonts w:asciiTheme="minorHAnsi" w:eastAsiaTheme="minorEastAsia" w:hAnsiTheme="minorHAnsi" w:cstheme="minorHAnsi"/>
          <w:sz w:val="22"/>
          <w:szCs w:val="22"/>
          <w:lang w:val="en-US" w:eastAsia="en-US"/>
        </w:rPr>
        <w:t xml:space="preserve"> the charity’s</w:t>
      </w:r>
      <w:r w:rsidR="009F7EB1" w:rsidRPr="000C1D9A">
        <w:rPr>
          <w:rFonts w:asciiTheme="minorHAnsi" w:eastAsiaTheme="minorEastAsia" w:hAnsiTheme="minorHAnsi" w:cstheme="minorHAnsi"/>
          <w:sz w:val="22"/>
          <w:szCs w:val="22"/>
          <w:lang w:val="en-US" w:eastAsia="en-US"/>
        </w:rPr>
        <w:t>:</w:t>
      </w:r>
      <w:bookmarkEnd w:id="0"/>
      <w:r w:rsidR="009F7EB1" w:rsidRPr="000C1D9A">
        <w:rPr>
          <w:rFonts w:asciiTheme="minorHAnsi" w:eastAsiaTheme="minorEastAsia" w:hAnsiTheme="minorHAnsi" w:cstheme="minorHAnsi"/>
          <w:sz w:val="22"/>
          <w:szCs w:val="22"/>
          <w:lang w:val="en-US" w:eastAsia="en-US"/>
        </w:rPr>
        <w:t xml:space="preserve"> </w:t>
      </w:r>
    </w:p>
    <w:p w14:paraId="3F0D7259" w14:textId="5085D725" w:rsidR="009F7EB1" w:rsidRPr="000C1D9A" w:rsidRDefault="009F7EB1" w:rsidP="000C1D9A">
      <w:pPr>
        <w:pStyle w:val="ListParagraph"/>
        <w:numPr>
          <w:ilvl w:val="1"/>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0C1D9A">
        <w:rPr>
          <w:rFonts w:asciiTheme="minorHAnsi" w:eastAsiaTheme="minorEastAsia" w:hAnsiTheme="minorHAnsi" w:cstheme="minorHAnsi"/>
          <w:sz w:val="22"/>
          <w:szCs w:val="22"/>
          <w:lang w:val="en-US" w:eastAsia="en-US"/>
        </w:rPr>
        <w:t xml:space="preserve">governing </w:t>
      </w:r>
      <w:proofErr w:type="gramStart"/>
      <w:r w:rsidRPr="000C1D9A">
        <w:rPr>
          <w:rFonts w:asciiTheme="minorHAnsi" w:eastAsiaTheme="minorEastAsia" w:hAnsiTheme="minorHAnsi" w:cstheme="minorHAnsi"/>
          <w:sz w:val="22"/>
          <w:szCs w:val="22"/>
          <w:lang w:val="en-US" w:eastAsia="en-US"/>
        </w:rPr>
        <w:t>document;</w:t>
      </w:r>
      <w:proofErr w:type="gramEnd"/>
    </w:p>
    <w:p w14:paraId="6F6EC743" w14:textId="42CA53CD" w:rsidR="00F81D38" w:rsidRPr="000C1D9A" w:rsidRDefault="00F81D38" w:rsidP="000C1D9A">
      <w:pPr>
        <w:pStyle w:val="ListParagraph"/>
        <w:numPr>
          <w:ilvl w:val="1"/>
          <w:numId w:val="1"/>
        </w:numPr>
        <w:spacing w:before="120" w:after="120" w:line="276" w:lineRule="auto"/>
        <w:textAlignment w:val="baseline"/>
        <w:rPr>
          <w:rFonts w:asciiTheme="minorHAnsi" w:eastAsiaTheme="minorEastAsia" w:hAnsiTheme="minorHAnsi" w:cstheme="minorHAnsi"/>
          <w:sz w:val="22"/>
          <w:szCs w:val="22"/>
          <w:lang w:val="en-US" w:eastAsia="en-US"/>
        </w:rPr>
      </w:pPr>
      <w:proofErr w:type="gramStart"/>
      <w:r w:rsidRPr="000C1D9A">
        <w:rPr>
          <w:rFonts w:asciiTheme="minorHAnsi" w:eastAsiaTheme="minorEastAsia" w:hAnsiTheme="minorHAnsi" w:cstheme="minorHAnsi"/>
          <w:sz w:val="22"/>
          <w:szCs w:val="22"/>
          <w:lang w:val="en-US" w:eastAsia="en-US"/>
        </w:rPr>
        <w:t>activities</w:t>
      </w:r>
      <w:r w:rsidR="004B5A20">
        <w:rPr>
          <w:rFonts w:asciiTheme="minorHAnsi" w:eastAsiaTheme="minorEastAsia" w:hAnsiTheme="minorHAnsi" w:cstheme="minorHAnsi"/>
          <w:sz w:val="22"/>
          <w:szCs w:val="22"/>
          <w:lang w:val="en-US" w:eastAsia="en-US"/>
        </w:rPr>
        <w:t>;</w:t>
      </w:r>
      <w:proofErr w:type="gramEnd"/>
    </w:p>
    <w:p w14:paraId="01E89FDF" w14:textId="235356CE" w:rsidR="009F7EB1" w:rsidRPr="000C1D9A" w:rsidRDefault="00AB56CB" w:rsidP="000C1D9A">
      <w:pPr>
        <w:pStyle w:val="ListParagraph"/>
        <w:numPr>
          <w:ilvl w:val="1"/>
          <w:numId w:val="1"/>
        </w:numPr>
        <w:spacing w:before="120" w:after="120" w:line="276" w:lineRule="auto"/>
        <w:textAlignment w:val="baseline"/>
        <w:rPr>
          <w:rFonts w:asciiTheme="minorHAnsi" w:eastAsiaTheme="minorEastAsia" w:hAnsiTheme="minorHAnsi" w:cstheme="minorHAnsi"/>
          <w:sz w:val="22"/>
          <w:szCs w:val="22"/>
          <w:lang w:val="en-US" w:eastAsia="en-US"/>
        </w:rPr>
      </w:pPr>
      <w:r>
        <w:rPr>
          <w:rFonts w:asciiTheme="minorHAnsi" w:eastAsiaTheme="minorEastAsia" w:hAnsiTheme="minorHAnsi" w:cstheme="minorHAnsi"/>
          <w:sz w:val="22"/>
          <w:szCs w:val="22"/>
          <w:lang w:val="en-US" w:eastAsia="en-US"/>
        </w:rPr>
        <w:t>R</w:t>
      </w:r>
      <w:r w:rsidR="009F7EB1" w:rsidRPr="000C1D9A">
        <w:rPr>
          <w:rFonts w:asciiTheme="minorHAnsi" w:eastAsiaTheme="minorEastAsia" w:hAnsiTheme="minorHAnsi" w:cstheme="minorHAnsi"/>
          <w:sz w:val="22"/>
          <w:szCs w:val="22"/>
          <w:lang w:val="en-US" w:eastAsia="en-US"/>
        </w:rPr>
        <w:t xml:space="preserve">esponsible </w:t>
      </w:r>
      <w:r>
        <w:rPr>
          <w:rFonts w:asciiTheme="minorHAnsi" w:eastAsiaTheme="minorEastAsia" w:hAnsiTheme="minorHAnsi" w:cstheme="minorHAnsi"/>
          <w:sz w:val="22"/>
          <w:szCs w:val="22"/>
          <w:lang w:val="en-US" w:eastAsia="en-US"/>
        </w:rPr>
        <w:t>People</w:t>
      </w:r>
      <w:r w:rsidRPr="000C1D9A">
        <w:rPr>
          <w:rFonts w:asciiTheme="minorHAnsi" w:eastAsiaTheme="minorEastAsia" w:hAnsiTheme="minorHAnsi" w:cstheme="minorHAnsi"/>
          <w:sz w:val="22"/>
          <w:szCs w:val="22"/>
          <w:lang w:val="en-US" w:eastAsia="en-US"/>
        </w:rPr>
        <w:t xml:space="preserve"> </w:t>
      </w:r>
      <w:r w:rsidR="009F7EB1" w:rsidRPr="000C1D9A">
        <w:rPr>
          <w:rFonts w:asciiTheme="minorHAnsi" w:eastAsiaTheme="minorEastAsia" w:hAnsiTheme="minorHAnsi" w:cstheme="minorHAnsi"/>
          <w:sz w:val="22"/>
          <w:szCs w:val="22"/>
          <w:lang w:val="en-US" w:eastAsia="en-US"/>
        </w:rPr>
        <w:t>(composition of board, committee of management or trustees)</w:t>
      </w:r>
      <w:r w:rsidR="00F81D38" w:rsidRPr="000C1D9A">
        <w:rPr>
          <w:rFonts w:asciiTheme="minorHAnsi" w:eastAsiaTheme="minorEastAsia" w:hAnsiTheme="minorHAnsi" w:cstheme="minorHAnsi"/>
          <w:sz w:val="22"/>
          <w:szCs w:val="22"/>
          <w:lang w:val="en-US" w:eastAsia="en-US"/>
        </w:rPr>
        <w:t xml:space="preserve">, including the number of </w:t>
      </w:r>
      <w:r w:rsidR="00EA5580">
        <w:rPr>
          <w:rFonts w:asciiTheme="minorHAnsi" w:eastAsiaTheme="minorEastAsia" w:hAnsiTheme="minorHAnsi" w:cstheme="minorHAnsi"/>
          <w:sz w:val="22"/>
          <w:szCs w:val="22"/>
          <w:lang w:val="en-US" w:eastAsia="en-US"/>
        </w:rPr>
        <w:t>R</w:t>
      </w:r>
      <w:r w:rsidR="00F81D38" w:rsidRPr="000C1D9A">
        <w:rPr>
          <w:rFonts w:asciiTheme="minorHAnsi" w:eastAsiaTheme="minorEastAsia" w:hAnsiTheme="minorHAnsi" w:cstheme="minorHAnsi"/>
          <w:sz w:val="22"/>
          <w:szCs w:val="22"/>
          <w:lang w:val="en-US" w:eastAsia="en-US"/>
        </w:rPr>
        <w:t xml:space="preserve">esponsible </w:t>
      </w:r>
      <w:r w:rsidR="00EA5580">
        <w:rPr>
          <w:rFonts w:asciiTheme="minorHAnsi" w:eastAsiaTheme="minorEastAsia" w:hAnsiTheme="minorHAnsi" w:cstheme="minorHAnsi"/>
          <w:sz w:val="22"/>
          <w:szCs w:val="22"/>
          <w:lang w:val="en-US" w:eastAsia="en-US"/>
        </w:rPr>
        <w:t>People</w:t>
      </w:r>
      <w:r w:rsidR="00F81D38" w:rsidRPr="000C1D9A">
        <w:rPr>
          <w:rFonts w:asciiTheme="minorHAnsi" w:eastAsiaTheme="minorEastAsia" w:hAnsiTheme="minorHAnsi" w:cstheme="minorHAnsi"/>
          <w:sz w:val="22"/>
          <w:szCs w:val="22"/>
          <w:lang w:val="en-US" w:eastAsia="en-US"/>
        </w:rPr>
        <w:t xml:space="preserve"> and their relationships with </w:t>
      </w:r>
      <w:proofErr w:type="gramStart"/>
      <w:r w:rsidR="00F81D38" w:rsidRPr="000C1D9A">
        <w:rPr>
          <w:rFonts w:asciiTheme="minorHAnsi" w:eastAsiaTheme="minorEastAsia" w:hAnsiTheme="minorHAnsi" w:cstheme="minorHAnsi"/>
          <w:sz w:val="22"/>
          <w:szCs w:val="22"/>
          <w:lang w:val="en-US" w:eastAsia="en-US"/>
        </w:rPr>
        <w:t>one another</w:t>
      </w:r>
      <w:r w:rsidR="009F7EB1" w:rsidRPr="000C1D9A">
        <w:rPr>
          <w:rFonts w:asciiTheme="minorHAnsi" w:eastAsiaTheme="minorEastAsia" w:hAnsiTheme="minorHAnsi" w:cstheme="minorHAnsi"/>
          <w:sz w:val="22"/>
          <w:szCs w:val="22"/>
          <w:lang w:val="en-US" w:eastAsia="en-US"/>
        </w:rPr>
        <w:t>;</w:t>
      </w:r>
      <w:proofErr w:type="gramEnd"/>
      <w:r w:rsidR="009F7EB1" w:rsidRPr="000C1D9A">
        <w:rPr>
          <w:rFonts w:asciiTheme="minorHAnsi" w:eastAsiaTheme="minorEastAsia" w:hAnsiTheme="minorHAnsi" w:cstheme="minorHAnsi"/>
          <w:sz w:val="22"/>
          <w:szCs w:val="22"/>
          <w:lang w:val="en-US" w:eastAsia="en-US"/>
        </w:rPr>
        <w:t xml:space="preserve"> </w:t>
      </w:r>
    </w:p>
    <w:p w14:paraId="5449D1D4" w14:textId="77777777" w:rsidR="009F7EB1" w:rsidRPr="000C1D9A" w:rsidRDefault="009F7EB1" w:rsidP="000C1D9A">
      <w:pPr>
        <w:pStyle w:val="ListParagraph"/>
        <w:numPr>
          <w:ilvl w:val="1"/>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0C1D9A">
        <w:rPr>
          <w:rFonts w:asciiTheme="minorHAnsi" w:eastAsiaTheme="minorEastAsia" w:hAnsiTheme="minorHAnsi" w:cstheme="minorHAnsi"/>
          <w:sz w:val="22"/>
          <w:szCs w:val="22"/>
          <w:lang w:val="en-US" w:eastAsia="en-US"/>
        </w:rPr>
        <w:t xml:space="preserve">policies and </w:t>
      </w:r>
      <w:proofErr w:type="gramStart"/>
      <w:r w:rsidRPr="000C1D9A">
        <w:rPr>
          <w:rFonts w:asciiTheme="minorHAnsi" w:eastAsiaTheme="minorEastAsia" w:hAnsiTheme="minorHAnsi" w:cstheme="minorHAnsi"/>
          <w:sz w:val="22"/>
          <w:szCs w:val="22"/>
          <w:lang w:val="en-US" w:eastAsia="en-US"/>
        </w:rPr>
        <w:t>procedures;</w:t>
      </w:r>
      <w:proofErr w:type="gramEnd"/>
      <w:r w:rsidRPr="000C1D9A">
        <w:rPr>
          <w:rFonts w:asciiTheme="minorHAnsi" w:eastAsiaTheme="minorEastAsia" w:hAnsiTheme="minorHAnsi" w:cstheme="minorHAnsi"/>
          <w:sz w:val="22"/>
          <w:szCs w:val="22"/>
          <w:lang w:val="en-US" w:eastAsia="en-US"/>
        </w:rPr>
        <w:t xml:space="preserve"> </w:t>
      </w:r>
    </w:p>
    <w:p w14:paraId="2F03851D" w14:textId="517BF134" w:rsidR="009F7EB1" w:rsidRPr="000C1D9A" w:rsidRDefault="009F7EB1" w:rsidP="000C1D9A">
      <w:pPr>
        <w:pStyle w:val="ListParagraph"/>
        <w:numPr>
          <w:ilvl w:val="1"/>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0C1D9A">
        <w:rPr>
          <w:rFonts w:asciiTheme="minorHAnsi" w:eastAsiaTheme="minorEastAsia" w:hAnsiTheme="minorHAnsi" w:cstheme="minorHAnsi"/>
          <w:sz w:val="22"/>
          <w:szCs w:val="22"/>
          <w:lang w:val="en-US" w:eastAsia="en-US"/>
        </w:rPr>
        <w:t xml:space="preserve">operational, strategic or business </w:t>
      </w:r>
      <w:proofErr w:type="gramStart"/>
      <w:r w:rsidRPr="000C1D9A">
        <w:rPr>
          <w:rFonts w:asciiTheme="minorHAnsi" w:eastAsiaTheme="minorEastAsia" w:hAnsiTheme="minorHAnsi" w:cstheme="minorHAnsi"/>
          <w:sz w:val="22"/>
          <w:szCs w:val="22"/>
          <w:lang w:val="en-US" w:eastAsia="en-US"/>
        </w:rPr>
        <w:t>plan</w:t>
      </w:r>
      <w:r w:rsidR="00F81D38" w:rsidRPr="000C1D9A">
        <w:rPr>
          <w:rFonts w:asciiTheme="minorHAnsi" w:eastAsiaTheme="minorEastAsia" w:hAnsiTheme="minorHAnsi" w:cstheme="minorHAnsi"/>
          <w:sz w:val="22"/>
          <w:szCs w:val="22"/>
          <w:lang w:val="en-US" w:eastAsia="en-US"/>
        </w:rPr>
        <w:t>s</w:t>
      </w:r>
      <w:r w:rsidRPr="000C1D9A">
        <w:rPr>
          <w:rFonts w:asciiTheme="minorHAnsi" w:eastAsiaTheme="minorEastAsia" w:hAnsiTheme="minorHAnsi" w:cstheme="minorHAnsi"/>
          <w:sz w:val="22"/>
          <w:szCs w:val="22"/>
          <w:lang w:val="en-US" w:eastAsia="en-US"/>
        </w:rPr>
        <w:t>;</w:t>
      </w:r>
      <w:proofErr w:type="gramEnd"/>
      <w:r w:rsidRPr="000C1D9A">
        <w:rPr>
          <w:rFonts w:asciiTheme="minorHAnsi" w:eastAsiaTheme="minorEastAsia" w:hAnsiTheme="minorHAnsi" w:cstheme="minorHAnsi"/>
          <w:sz w:val="22"/>
          <w:szCs w:val="22"/>
          <w:lang w:val="en-US" w:eastAsia="en-US"/>
        </w:rPr>
        <w:t xml:space="preserve"> </w:t>
      </w:r>
    </w:p>
    <w:p w14:paraId="351684E0" w14:textId="6A1FF92A" w:rsidR="009F7EB1" w:rsidRPr="000C1D9A" w:rsidRDefault="009F7EB1" w:rsidP="000C1D9A">
      <w:pPr>
        <w:pStyle w:val="ListParagraph"/>
        <w:numPr>
          <w:ilvl w:val="1"/>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0C1D9A">
        <w:rPr>
          <w:rFonts w:asciiTheme="minorHAnsi" w:eastAsiaTheme="minorEastAsia" w:hAnsiTheme="minorHAnsi" w:cstheme="minorHAnsi"/>
          <w:sz w:val="22"/>
          <w:szCs w:val="22"/>
          <w:lang w:val="en-US" w:eastAsia="en-US"/>
        </w:rPr>
        <w:t>annual report</w:t>
      </w:r>
      <w:r w:rsidR="00F81D38" w:rsidRPr="000C1D9A">
        <w:rPr>
          <w:rFonts w:asciiTheme="minorHAnsi" w:eastAsiaTheme="minorEastAsia" w:hAnsiTheme="minorHAnsi" w:cstheme="minorHAnsi"/>
          <w:sz w:val="22"/>
          <w:szCs w:val="22"/>
          <w:lang w:val="en-US" w:eastAsia="en-US"/>
        </w:rPr>
        <w:t>s</w:t>
      </w:r>
      <w:r w:rsidRPr="000C1D9A">
        <w:rPr>
          <w:rFonts w:asciiTheme="minorHAnsi" w:eastAsiaTheme="minorEastAsia" w:hAnsiTheme="minorHAnsi" w:cstheme="minorHAnsi"/>
          <w:sz w:val="22"/>
          <w:szCs w:val="22"/>
          <w:lang w:val="en-US" w:eastAsia="en-US"/>
        </w:rPr>
        <w:t xml:space="preserve"> (if any</w:t>
      </w:r>
      <w:proofErr w:type="gramStart"/>
      <w:r w:rsidRPr="000C1D9A">
        <w:rPr>
          <w:rFonts w:asciiTheme="minorHAnsi" w:eastAsiaTheme="minorEastAsia" w:hAnsiTheme="minorHAnsi" w:cstheme="minorHAnsi"/>
          <w:sz w:val="22"/>
          <w:szCs w:val="22"/>
          <w:lang w:val="en-US" w:eastAsia="en-US"/>
        </w:rPr>
        <w:t>);</w:t>
      </w:r>
      <w:proofErr w:type="gramEnd"/>
    </w:p>
    <w:p w14:paraId="3BF448F6" w14:textId="54C91881" w:rsidR="009F7EB1" w:rsidRPr="000C1D9A" w:rsidRDefault="009F7EB1" w:rsidP="000C1D9A">
      <w:pPr>
        <w:pStyle w:val="ListParagraph"/>
        <w:numPr>
          <w:ilvl w:val="1"/>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0C1D9A">
        <w:rPr>
          <w:rFonts w:asciiTheme="minorHAnsi" w:eastAsiaTheme="minorEastAsia" w:hAnsiTheme="minorHAnsi" w:cstheme="minorHAnsi"/>
          <w:sz w:val="22"/>
          <w:szCs w:val="22"/>
          <w:lang w:val="en-US" w:eastAsia="en-US"/>
        </w:rPr>
        <w:t xml:space="preserve">financial statements (for an existing </w:t>
      </w:r>
      <w:r w:rsidR="00402FB0" w:rsidRPr="000C1D9A">
        <w:rPr>
          <w:rFonts w:asciiTheme="minorHAnsi" w:eastAsiaTheme="minorEastAsia" w:hAnsiTheme="minorHAnsi" w:cstheme="minorHAnsi"/>
          <w:sz w:val="22"/>
          <w:szCs w:val="22"/>
          <w:lang w:val="en-US" w:eastAsia="en-US"/>
        </w:rPr>
        <w:t>chari</w:t>
      </w:r>
      <w:r w:rsidRPr="000C1D9A">
        <w:rPr>
          <w:rFonts w:asciiTheme="minorHAnsi" w:eastAsiaTheme="minorEastAsia" w:hAnsiTheme="minorHAnsi" w:cstheme="minorHAnsi"/>
          <w:sz w:val="22"/>
          <w:szCs w:val="22"/>
          <w:lang w:val="en-US" w:eastAsia="en-US"/>
        </w:rPr>
        <w:t xml:space="preserve">ty) or budget (for a new </w:t>
      </w:r>
      <w:r w:rsidR="00402FB0" w:rsidRPr="000C1D9A">
        <w:rPr>
          <w:rFonts w:asciiTheme="minorHAnsi" w:eastAsiaTheme="minorEastAsia" w:hAnsiTheme="minorHAnsi" w:cstheme="minorHAnsi"/>
          <w:sz w:val="22"/>
          <w:szCs w:val="22"/>
          <w:lang w:val="en-US" w:eastAsia="en-US"/>
        </w:rPr>
        <w:t>charity</w:t>
      </w:r>
      <w:proofErr w:type="gramStart"/>
      <w:r w:rsidRPr="000C1D9A">
        <w:rPr>
          <w:rFonts w:asciiTheme="minorHAnsi" w:eastAsiaTheme="minorEastAsia" w:hAnsiTheme="minorHAnsi" w:cstheme="minorHAnsi"/>
          <w:sz w:val="22"/>
          <w:szCs w:val="22"/>
          <w:lang w:val="en-US" w:eastAsia="en-US"/>
        </w:rPr>
        <w:t>);</w:t>
      </w:r>
      <w:proofErr w:type="gramEnd"/>
    </w:p>
    <w:p w14:paraId="259FD910" w14:textId="4F35E3A4" w:rsidR="009F7EB1" w:rsidRPr="000C1D9A" w:rsidRDefault="009F7EB1" w:rsidP="000C1D9A">
      <w:pPr>
        <w:pStyle w:val="ListParagraph"/>
        <w:numPr>
          <w:ilvl w:val="1"/>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0C1D9A">
        <w:rPr>
          <w:rFonts w:asciiTheme="minorHAnsi" w:eastAsiaTheme="minorEastAsia" w:hAnsiTheme="minorHAnsi" w:cstheme="minorHAnsi"/>
          <w:sz w:val="22"/>
          <w:szCs w:val="22"/>
          <w:lang w:val="en-US" w:eastAsia="en-US"/>
        </w:rPr>
        <w:t>relationship</w:t>
      </w:r>
      <w:r w:rsidR="00402FB0" w:rsidRPr="000C1D9A">
        <w:rPr>
          <w:rFonts w:asciiTheme="minorHAnsi" w:eastAsiaTheme="minorEastAsia" w:hAnsiTheme="minorHAnsi" w:cstheme="minorHAnsi"/>
          <w:sz w:val="22"/>
          <w:szCs w:val="22"/>
          <w:lang w:val="en-US" w:eastAsia="en-US"/>
        </w:rPr>
        <w:t>s</w:t>
      </w:r>
      <w:r w:rsidRPr="000C1D9A">
        <w:rPr>
          <w:rFonts w:asciiTheme="minorHAnsi" w:eastAsiaTheme="minorEastAsia" w:hAnsiTheme="minorHAnsi" w:cstheme="minorHAnsi"/>
          <w:sz w:val="22"/>
          <w:szCs w:val="22"/>
          <w:lang w:val="en-US" w:eastAsia="en-US"/>
        </w:rPr>
        <w:t xml:space="preserve"> with other </w:t>
      </w:r>
      <w:proofErr w:type="spellStart"/>
      <w:r w:rsidRPr="000C1D9A">
        <w:rPr>
          <w:rFonts w:asciiTheme="minorHAnsi" w:eastAsiaTheme="minorEastAsia" w:hAnsiTheme="minorHAnsi" w:cstheme="minorHAnsi"/>
          <w:sz w:val="22"/>
          <w:szCs w:val="22"/>
          <w:lang w:val="en-US" w:eastAsia="en-US"/>
        </w:rPr>
        <w:t>organisations</w:t>
      </w:r>
      <w:proofErr w:type="spellEnd"/>
      <w:r w:rsidRPr="000C1D9A">
        <w:rPr>
          <w:rFonts w:asciiTheme="minorHAnsi" w:eastAsiaTheme="minorEastAsia" w:hAnsiTheme="minorHAnsi" w:cstheme="minorHAnsi"/>
          <w:sz w:val="22"/>
          <w:szCs w:val="22"/>
          <w:lang w:val="en-US" w:eastAsia="en-US"/>
        </w:rPr>
        <w:t xml:space="preserve"> and agreements </w:t>
      </w:r>
      <w:r w:rsidR="0067477C">
        <w:rPr>
          <w:rFonts w:asciiTheme="minorHAnsi" w:eastAsiaTheme="minorEastAsia" w:hAnsiTheme="minorHAnsi" w:cstheme="minorHAnsi"/>
          <w:sz w:val="22"/>
          <w:szCs w:val="22"/>
          <w:lang w:val="en-US" w:eastAsia="en-US"/>
        </w:rPr>
        <w:t>that</w:t>
      </w:r>
      <w:r w:rsidR="0067477C" w:rsidRPr="000C1D9A">
        <w:rPr>
          <w:rFonts w:asciiTheme="minorHAnsi" w:eastAsiaTheme="minorEastAsia" w:hAnsiTheme="minorHAnsi" w:cstheme="minorHAnsi"/>
          <w:sz w:val="22"/>
          <w:szCs w:val="22"/>
          <w:lang w:val="en-US" w:eastAsia="en-US"/>
        </w:rPr>
        <w:t xml:space="preserve"> </w:t>
      </w:r>
      <w:r w:rsidR="00402FB0" w:rsidRPr="000C1D9A">
        <w:rPr>
          <w:rFonts w:asciiTheme="minorHAnsi" w:eastAsiaTheme="minorEastAsia" w:hAnsiTheme="minorHAnsi" w:cstheme="minorHAnsi"/>
          <w:sz w:val="22"/>
          <w:szCs w:val="22"/>
          <w:lang w:val="en-US" w:eastAsia="en-US"/>
        </w:rPr>
        <w:t>provide evidence of these relationships</w:t>
      </w:r>
      <w:r w:rsidRPr="000C1D9A">
        <w:rPr>
          <w:rFonts w:asciiTheme="minorHAnsi" w:eastAsiaTheme="minorEastAsia" w:hAnsiTheme="minorHAnsi" w:cstheme="minorHAnsi"/>
          <w:sz w:val="22"/>
          <w:szCs w:val="22"/>
          <w:lang w:val="en-US" w:eastAsia="en-US"/>
        </w:rPr>
        <w:t>;</w:t>
      </w:r>
      <w:r w:rsidR="00B049DF" w:rsidRPr="000C1D9A">
        <w:rPr>
          <w:rFonts w:asciiTheme="minorHAnsi" w:eastAsiaTheme="minorEastAsia" w:hAnsiTheme="minorHAnsi" w:cstheme="minorHAnsi"/>
          <w:sz w:val="22"/>
          <w:szCs w:val="22"/>
          <w:lang w:val="en-US" w:eastAsia="en-US"/>
        </w:rPr>
        <w:t xml:space="preserve"> and</w:t>
      </w:r>
    </w:p>
    <w:p w14:paraId="27220374" w14:textId="2BD844F9" w:rsidR="009F7EB1" w:rsidRPr="000C1D9A" w:rsidRDefault="009F7EB1" w:rsidP="000C1D9A">
      <w:pPr>
        <w:pStyle w:val="ListParagraph"/>
        <w:numPr>
          <w:ilvl w:val="1"/>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0C1D9A">
        <w:rPr>
          <w:rFonts w:asciiTheme="minorHAnsi" w:eastAsiaTheme="minorEastAsia" w:hAnsiTheme="minorHAnsi" w:cstheme="minorHAnsi"/>
          <w:sz w:val="22"/>
          <w:szCs w:val="22"/>
          <w:lang w:val="en-US" w:eastAsia="en-US"/>
        </w:rPr>
        <w:t xml:space="preserve">website and other </w:t>
      </w:r>
      <w:r w:rsidR="004B5A20" w:rsidRPr="000C1D9A">
        <w:rPr>
          <w:rFonts w:asciiTheme="minorHAnsi" w:eastAsiaTheme="minorEastAsia" w:hAnsiTheme="minorHAnsi" w:cstheme="minorHAnsi"/>
          <w:sz w:val="22"/>
          <w:szCs w:val="22"/>
          <w:lang w:val="en-US" w:eastAsia="en-US"/>
        </w:rPr>
        <w:t>publicly available</w:t>
      </w:r>
      <w:r w:rsidR="00402FB0" w:rsidRPr="000C1D9A">
        <w:rPr>
          <w:rFonts w:asciiTheme="minorHAnsi" w:eastAsiaTheme="minorEastAsia" w:hAnsiTheme="minorHAnsi" w:cstheme="minorHAnsi"/>
          <w:sz w:val="22"/>
          <w:szCs w:val="22"/>
          <w:lang w:val="en-US" w:eastAsia="en-US"/>
        </w:rPr>
        <w:t xml:space="preserve"> information about the charity</w:t>
      </w:r>
      <w:r w:rsidR="00B049DF" w:rsidRPr="000C1D9A">
        <w:rPr>
          <w:rFonts w:asciiTheme="minorHAnsi" w:eastAsiaTheme="minorEastAsia" w:hAnsiTheme="minorHAnsi" w:cstheme="minorHAnsi"/>
          <w:sz w:val="22"/>
          <w:szCs w:val="22"/>
          <w:lang w:val="en-US" w:eastAsia="en-US"/>
        </w:rPr>
        <w:t>, including social media posts.</w:t>
      </w:r>
    </w:p>
    <w:p w14:paraId="0442EE1A" w14:textId="6086E37A" w:rsidR="009F7EB1" w:rsidRPr="000C1D9A" w:rsidRDefault="0067477C" w:rsidP="000C1D9A">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Pr>
          <w:rFonts w:asciiTheme="minorHAnsi" w:eastAsiaTheme="minorEastAsia" w:hAnsiTheme="minorHAnsi" w:cstheme="minorHAnsi"/>
          <w:sz w:val="22"/>
          <w:szCs w:val="22"/>
          <w:lang w:val="en-US" w:eastAsia="en-US"/>
        </w:rPr>
        <w:t>We</w:t>
      </w:r>
      <w:r w:rsidR="009F7EB1" w:rsidRPr="000C1D9A">
        <w:rPr>
          <w:rFonts w:asciiTheme="minorHAnsi" w:eastAsiaTheme="minorEastAsia" w:hAnsiTheme="minorHAnsi" w:cstheme="minorHAnsi"/>
          <w:sz w:val="22"/>
          <w:szCs w:val="22"/>
          <w:lang w:val="en-US" w:eastAsia="en-US"/>
        </w:rPr>
        <w:t xml:space="preserve"> </w:t>
      </w:r>
      <w:r w:rsidR="00EC51CF" w:rsidRPr="000C1D9A">
        <w:rPr>
          <w:rFonts w:asciiTheme="minorHAnsi" w:eastAsiaTheme="minorEastAsia" w:hAnsiTheme="minorHAnsi" w:cstheme="minorHAnsi"/>
          <w:sz w:val="22"/>
          <w:szCs w:val="22"/>
          <w:lang w:val="en-US" w:eastAsia="en-US"/>
        </w:rPr>
        <w:t>observe</w:t>
      </w:r>
      <w:r w:rsidR="009F7EB1" w:rsidRPr="000C1D9A">
        <w:rPr>
          <w:rFonts w:asciiTheme="minorHAnsi" w:eastAsiaTheme="minorEastAsia" w:hAnsiTheme="minorHAnsi" w:cstheme="minorHAnsi"/>
          <w:sz w:val="22"/>
          <w:szCs w:val="22"/>
          <w:lang w:val="en-US" w:eastAsia="en-US"/>
        </w:rPr>
        <w:t xml:space="preserve"> the following principles </w:t>
      </w:r>
      <w:r w:rsidR="00EC51CF" w:rsidRPr="000C1D9A">
        <w:rPr>
          <w:rFonts w:asciiTheme="minorHAnsi" w:eastAsiaTheme="minorEastAsia" w:hAnsiTheme="minorHAnsi" w:cstheme="minorHAnsi"/>
          <w:sz w:val="22"/>
          <w:szCs w:val="22"/>
          <w:lang w:val="en-US" w:eastAsia="en-US"/>
        </w:rPr>
        <w:t>when</w:t>
      </w:r>
      <w:r w:rsidR="009F7EB1" w:rsidRPr="000C1D9A">
        <w:rPr>
          <w:rFonts w:asciiTheme="minorHAnsi" w:eastAsiaTheme="minorEastAsia" w:hAnsiTheme="minorHAnsi" w:cstheme="minorHAnsi"/>
          <w:sz w:val="22"/>
          <w:szCs w:val="22"/>
          <w:lang w:val="en-US" w:eastAsia="en-US"/>
        </w:rPr>
        <w:t xml:space="preserve"> de</w:t>
      </w:r>
      <w:r w:rsidR="00EC51CF" w:rsidRPr="000C1D9A">
        <w:rPr>
          <w:rFonts w:asciiTheme="minorHAnsi" w:eastAsiaTheme="minorEastAsia" w:hAnsiTheme="minorHAnsi" w:cstheme="minorHAnsi"/>
          <w:sz w:val="22"/>
          <w:szCs w:val="22"/>
          <w:lang w:val="en-US" w:eastAsia="en-US"/>
        </w:rPr>
        <w:t>ciding</w:t>
      </w:r>
      <w:r w:rsidR="009F7EB1" w:rsidRPr="000C1D9A">
        <w:rPr>
          <w:rFonts w:asciiTheme="minorHAnsi" w:eastAsiaTheme="minorEastAsia" w:hAnsiTheme="minorHAnsi" w:cstheme="minorHAnsi"/>
          <w:sz w:val="22"/>
          <w:szCs w:val="22"/>
          <w:lang w:val="en-US" w:eastAsia="en-US"/>
        </w:rPr>
        <w:t xml:space="preserve"> whether a</w:t>
      </w:r>
      <w:r w:rsidR="0014719E" w:rsidRPr="000C1D9A">
        <w:rPr>
          <w:rFonts w:asciiTheme="minorHAnsi" w:eastAsiaTheme="minorEastAsia" w:hAnsiTheme="minorHAnsi" w:cstheme="minorHAnsi"/>
          <w:sz w:val="22"/>
          <w:szCs w:val="22"/>
          <w:lang w:val="en-US" w:eastAsia="en-US"/>
        </w:rPr>
        <w:t xml:space="preserve"> </w:t>
      </w:r>
      <w:r w:rsidR="00EC51CF" w:rsidRPr="000C1D9A">
        <w:rPr>
          <w:rFonts w:asciiTheme="minorHAnsi" w:eastAsiaTheme="minorEastAsia" w:hAnsiTheme="minorHAnsi" w:cstheme="minorHAnsi"/>
          <w:sz w:val="22"/>
          <w:szCs w:val="22"/>
          <w:lang w:val="en-US" w:eastAsia="en-US"/>
        </w:rPr>
        <w:t>char</w:t>
      </w:r>
      <w:r w:rsidR="009F7EB1" w:rsidRPr="000C1D9A">
        <w:rPr>
          <w:rFonts w:asciiTheme="minorHAnsi" w:eastAsiaTheme="minorEastAsia" w:hAnsiTheme="minorHAnsi" w:cstheme="minorHAnsi"/>
          <w:sz w:val="22"/>
          <w:szCs w:val="22"/>
          <w:lang w:val="en-US" w:eastAsia="en-US"/>
        </w:rPr>
        <w:t xml:space="preserve">ity is entitled to be registered as a PBI: </w:t>
      </w:r>
    </w:p>
    <w:p w14:paraId="16B4FDEA" w14:textId="45D0BEB0" w:rsidR="009F7EB1" w:rsidRPr="000C1D9A" w:rsidRDefault="00BD3313" w:rsidP="000C1D9A">
      <w:pPr>
        <w:pStyle w:val="ListParagraph"/>
        <w:numPr>
          <w:ilvl w:val="1"/>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0C1D9A">
        <w:rPr>
          <w:rFonts w:asciiTheme="minorHAnsi" w:eastAsiaTheme="minorEastAsia" w:hAnsiTheme="minorHAnsi" w:cstheme="minorHAnsi"/>
          <w:sz w:val="22"/>
          <w:szCs w:val="22"/>
          <w:lang w:val="en-US" w:eastAsia="en-US"/>
        </w:rPr>
        <w:t xml:space="preserve">As PBI </w:t>
      </w:r>
      <w:r w:rsidR="0021231E" w:rsidRPr="000C1D9A">
        <w:rPr>
          <w:rFonts w:asciiTheme="minorHAnsi" w:eastAsiaTheme="minorEastAsia" w:hAnsiTheme="minorHAnsi" w:cstheme="minorHAnsi"/>
          <w:sz w:val="22"/>
          <w:szCs w:val="22"/>
          <w:lang w:val="en-US" w:eastAsia="en-US"/>
        </w:rPr>
        <w:t>is defined according to its ordinary meaning</w:t>
      </w:r>
      <w:r w:rsidR="00D30363">
        <w:rPr>
          <w:rFonts w:asciiTheme="minorHAnsi" w:eastAsiaTheme="minorEastAsia" w:hAnsiTheme="minorHAnsi" w:cstheme="minorHAnsi"/>
          <w:sz w:val="22"/>
          <w:szCs w:val="22"/>
          <w:lang w:val="en-US" w:eastAsia="en-US"/>
        </w:rPr>
        <w:t>;</w:t>
      </w:r>
      <w:r w:rsidR="0021231E" w:rsidRPr="000C1D9A">
        <w:rPr>
          <w:rFonts w:asciiTheme="minorHAnsi" w:eastAsiaTheme="minorEastAsia" w:hAnsiTheme="minorHAnsi" w:cstheme="minorHAnsi"/>
          <w:sz w:val="22"/>
          <w:szCs w:val="22"/>
          <w:lang w:val="en-US" w:eastAsia="en-US"/>
        </w:rPr>
        <w:t xml:space="preserve"> that meaning will evolve over time as people’s understanding of PBIs and how they provide relief changes</w:t>
      </w:r>
      <w:r w:rsidR="009F7EB1" w:rsidRPr="000C1D9A">
        <w:rPr>
          <w:rFonts w:asciiTheme="minorHAnsi" w:eastAsiaTheme="minorEastAsia" w:hAnsiTheme="minorHAnsi" w:cstheme="minorHAnsi"/>
          <w:sz w:val="22"/>
          <w:szCs w:val="22"/>
          <w:lang w:val="en-US" w:eastAsia="en-US"/>
        </w:rPr>
        <w:t xml:space="preserve">. While </w:t>
      </w:r>
      <w:r w:rsidR="00295252">
        <w:rPr>
          <w:rFonts w:asciiTheme="minorHAnsi" w:eastAsiaTheme="minorEastAsia" w:hAnsiTheme="minorHAnsi" w:cstheme="minorHAnsi"/>
          <w:sz w:val="22"/>
          <w:szCs w:val="22"/>
          <w:lang w:val="en-US" w:eastAsia="en-US"/>
        </w:rPr>
        <w:t xml:space="preserve">we must follow </w:t>
      </w:r>
      <w:r w:rsidR="009F7EB1" w:rsidRPr="000C1D9A">
        <w:rPr>
          <w:rFonts w:asciiTheme="minorHAnsi" w:eastAsiaTheme="minorEastAsia" w:hAnsiTheme="minorHAnsi" w:cstheme="minorHAnsi"/>
          <w:sz w:val="22"/>
          <w:szCs w:val="22"/>
          <w:lang w:val="en-US" w:eastAsia="en-US"/>
        </w:rPr>
        <w:t xml:space="preserve">past judicial statements </w:t>
      </w:r>
      <w:r w:rsidR="00295252">
        <w:rPr>
          <w:rFonts w:asciiTheme="minorHAnsi" w:eastAsiaTheme="minorEastAsia" w:hAnsiTheme="minorHAnsi" w:cstheme="minorHAnsi"/>
          <w:sz w:val="22"/>
          <w:szCs w:val="22"/>
          <w:lang w:val="en-US" w:eastAsia="en-US"/>
        </w:rPr>
        <w:t xml:space="preserve">that </w:t>
      </w:r>
      <w:r w:rsidR="00A6700B">
        <w:rPr>
          <w:rFonts w:asciiTheme="minorHAnsi" w:eastAsiaTheme="minorEastAsia" w:hAnsiTheme="minorHAnsi" w:cstheme="minorHAnsi"/>
          <w:sz w:val="22"/>
          <w:szCs w:val="22"/>
          <w:lang w:val="en-US" w:eastAsia="en-US"/>
        </w:rPr>
        <w:t>establish</w:t>
      </w:r>
      <w:r w:rsidR="00443717">
        <w:rPr>
          <w:rFonts w:asciiTheme="minorHAnsi" w:eastAsiaTheme="minorEastAsia" w:hAnsiTheme="minorHAnsi" w:cstheme="minorHAnsi"/>
          <w:sz w:val="22"/>
          <w:szCs w:val="22"/>
          <w:lang w:val="en-US" w:eastAsia="en-US"/>
        </w:rPr>
        <w:t xml:space="preserve"> clear</w:t>
      </w:r>
      <w:r w:rsidR="00A6700B">
        <w:rPr>
          <w:rFonts w:asciiTheme="minorHAnsi" w:eastAsiaTheme="minorEastAsia" w:hAnsiTheme="minorHAnsi" w:cstheme="minorHAnsi"/>
          <w:sz w:val="22"/>
          <w:szCs w:val="22"/>
          <w:lang w:val="en-US" w:eastAsia="en-US"/>
        </w:rPr>
        <w:t xml:space="preserve"> legal principles</w:t>
      </w:r>
      <w:r w:rsidR="009F7EB1" w:rsidRPr="000C1D9A">
        <w:rPr>
          <w:rFonts w:asciiTheme="minorHAnsi" w:eastAsiaTheme="minorEastAsia" w:hAnsiTheme="minorHAnsi" w:cstheme="minorHAnsi"/>
          <w:sz w:val="22"/>
          <w:szCs w:val="22"/>
          <w:lang w:val="en-US" w:eastAsia="en-US"/>
        </w:rPr>
        <w:t>, it is not appropriate to apply them mechanically.</w:t>
      </w:r>
      <w:r w:rsidR="009F7EB1" w:rsidRPr="00DA616B">
        <w:rPr>
          <w:rFonts w:asciiTheme="minorHAnsi" w:eastAsiaTheme="minorEastAsia" w:hAnsiTheme="minorHAnsi" w:cstheme="minorHAnsi"/>
          <w:sz w:val="22"/>
          <w:szCs w:val="22"/>
          <w:vertAlign w:val="superscript"/>
          <w:lang w:val="en-US" w:eastAsia="en-US"/>
        </w:rPr>
        <w:footnoteReference w:id="71"/>
      </w:r>
      <w:r w:rsidR="009F7EB1" w:rsidRPr="00DA616B">
        <w:rPr>
          <w:rFonts w:asciiTheme="minorHAnsi" w:eastAsiaTheme="minorEastAsia" w:hAnsiTheme="minorHAnsi" w:cstheme="minorHAnsi"/>
          <w:sz w:val="22"/>
          <w:szCs w:val="22"/>
          <w:vertAlign w:val="superscript"/>
          <w:lang w:val="en-US" w:eastAsia="en-US"/>
        </w:rPr>
        <w:t xml:space="preserve"> </w:t>
      </w:r>
    </w:p>
    <w:p w14:paraId="387DC2C4" w14:textId="7DFE95AD" w:rsidR="009F7EB1" w:rsidRPr="000C1D9A" w:rsidRDefault="009F7EB1" w:rsidP="000C1D9A">
      <w:pPr>
        <w:pStyle w:val="ListParagraph"/>
        <w:numPr>
          <w:ilvl w:val="1"/>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0C1D9A">
        <w:rPr>
          <w:rFonts w:asciiTheme="minorHAnsi" w:eastAsiaTheme="minorEastAsia" w:hAnsiTheme="minorHAnsi" w:cstheme="minorHAnsi"/>
          <w:sz w:val="22"/>
          <w:szCs w:val="22"/>
          <w:lang w:val="en-US" w:eastAsia="en-US"/>
        </w:rPr>
        <w:lastRenderedPageBreak/>
        <w:t xml:space="preserve">The focus </w:t>
      </w:r>
      <w:r w:rsidR="00887139" w:rsidRPr="000C1D9A">
        <w:rPr>
          <w:rFonts w:asciiTheme="minorHAnsi" w:eastAsiaTheme="minorEastAsia" w:hAnsiTheme="minorHAnsi" w:cstheme="minorHAnsi"/>
          <w:sz w:val="22"/>
          <w:szCs w:val="22"/>
          <w:lang w:val="en-US" w:eastAsia="en-US"/>
        </w:rPr>
        <w:t xml:space="preserve">when determining whether a charity is a PBI </w:t>
      </w:r>
      <w:r w:rsidR="00295252">
        <w:rPr>
          <w:rFonts w:asciiTheme="minorHAnsi" w:eastAsiaTheme="minorEastAsia" w:hAnsiTheme="minorHAnsi" w:cstheme="minorHAnsi"/>
          <w:sz w:val="22"/>
          <w:szCs w:val="22"/>
          <w:lang w:val="en-US" w:eastAsia="en-US"/>
        </w:rPr>
        <w:t xml:space="preserve">is </w:t>
      </w:r>
      <w:r w:rsidRPr="000C1D9A">
        <w:rPr>
          <w:rFonts w:asciiTheme="minorHAnsi" w:eastAsiaTheme="minorEastAsia" w:hAnsiTheme="minorHAnsi" w:cstheme="minorHAnsi"/>
          <w:sz w:val="22"/>
          <w:szCs w:val="22"/>
          <w:lang w:val="en-US" w:eastAsia="en-US"/>
        </w:rPr>
        <w:t xml:space="preserve">on the substance of </w:t>
      </w:r>
      <w:r w:rsidR="00887139" w:rsidRPr="000C1D9A">
        <w:rPr>
          <w:rFonts w:asciiTheme="minorHAnsi" w:eastAsiaTheme="minorEastAsia" w:hAnsiTheme="minorHAnsi" w:cstheme="minorHAnsi"/>
          <w:sz w:val="22"/>
          <w:szCs w:val="22"/>
          <w:lang w:val="en-US" w:eastAsia="en-US"/>
        </w:rPr>
        <w:t>it</w:t>
      </w:r>
      <w:r w:rsidRPr="000C1D9A">
        <w:rPr>
          <w:rFonts w:asciiTheme="minorHAnsi" w:eastAsiaTheme="minorEastAsia" w:hAnsiTheme="minorHAnsi" w:cstheme="minorHAnsi"/>
          <w:sz w:val="22"/>
          <w:szCs w:val="22"/>
          <w:lang w:val="en-US" w:eastAsia="en-US"/>
        </w:rPr>
        <w:t>s purposes and activities rather than its structure.</w:t>
      </w:r>
      <w:r w:rsidRPr="00DA616B">
        <w:rPr>
          <w:rFonts w:asciiTheme="minorHAnsi" w:eastAsiaTheme="minorEastAsia" w:hAnsiTheme="minorHAnsi" w:cstheme="minorHAnsi"/>
          <w:sz w:val="22"/>
          <w:szCs w:val="22"/>
          <w:vertAlign w:val="superscript"/>
          <w:lang w:val="en-US" w:eastAsia="en-US"/>
        </w:rPr>
        <w:footnoteReference w:id="72"/>
      </w:r>
      <w:r w:rsidRPr="00DA616B">
        <w:rPr>
          <w:rFonts w:asciiTheme="minorHAnsi" w:eastAsiaTheme="minorEastAsia" w:hAnsiTheme="minorHAnsi" w:cstheme="minorHAnsi"/>
          <w:sz w:val="22"/>
          <w:szCs w:val="22"/>
          <w:vertAlign w:val="superscript"/>
          <w:lang w:val="en-US" w:eastAsia="en-US"/>
        </w:rPr>
        <w:t xml:space="preserve">  </w:t>
      </w:r>
    </w:p>
    <w:p w14:paraId="4BA59AFD" w14:textId="2AC0FA1F" w:rsidR="009F7EB1" w:rsidRPr="000C1D9A" w:rsidRDefault="009F7EB1" w:rsidP="000C1D9A">
      <w:pPr>
        <w:pStyle w:val="ListParagraph"/>
        <w:numPr>
          <w:ilvl w:val="0"/>
          <w:numId w:val="1"/>
        </w:numPr>
        <w:spacing w:before="120" w:after="120" w:line="276" w:lineRule="auto"/>
        <w:textAlignment w:val="baseline"/>
        <w:rPr>
          <w:rFonts w:asciiTheme="minorHAnsi" w:eastAsiaTheme="minorEastAsia" w:hAnsiTheme="minorHAnsi" w:cstheme="minorHAnsi"/>
          <w:sz w:val="22"/>
          <w:szCs w:val="22"/>
          <w:lang w:val="en-US" w:eastAsia="en-US"/>
        </w:rPr>
      </w:pPr>
      <w:r w:rsidRPr="000C1D9A">
        <w:rPr>
          <w:rFonts w:asciiTheme="minorHAnsi" w:eastAsiaTheme="minorEastAsia" w:hAnsiTheme="minorHAnsi" w:cstheme="minorHAnsi"/>
          <w:sz w:val="22"/>
          <w:szCs w:val="22"/>
          <w:lang w:val="en-US" w:eastAsia="en-US"/>
        </w:rPr>
        <w:t xml:space="preserve">The focus overall </w:t>
      </w:r>
      <w:r w:rsidR="008F251C">
        <w:rPr>
          <w:rFonts w:asciiTheme="minorHAnsi" w:eastAsiaTheme="minorEastAsia" w:hAnsiTheme="minorHAnsi" w:cstheme="minorHAnsi"/>
          <w:sz w:val="22"/>
          <w:szCs w:val="22"/>
          <w:lang w:val="en-US" w:eastAsia="en-US"/>
        </w:rPr>
        <w:t>is</w:t>
      </w:r>
      <w:r w:rsidR="00887139" w:rsidRPr="000C1D9A">
        <w:rPr>
          <w:rFonts w:asciiTheme="minorHAnsi" w:eastAsiaTheme="minorEastAsia" w:hAnsiTheme="minorHAnsi" w:cstheme="minorHAnsi"/>
          <w:sz w:val="22"/>
          <w:szCs w:val="22"/>
          <w:lang w:val="en-US" w:eastAsia="en-US"/>
        </w:rPr>
        <w:t xml:space="preserve"> on the charity’s purposes</w:t>
      </w:r>
      <w:r w:rsidRPr="000C1D9A">
        <w:rPr>
          <w:rFonts w:asciiTheme="minorHAnsi" w:eastAsiaTheme="minorEastAsia" w:hAnsiTheme="minorHAnsi" w:cstheme="minorHAnsi"/>
          <w:sz w:val="22"/>
          <w:szCs w:val="22"/>
          <w:lang w:val="en-US" w:eastAsia="en-US"/>
        </w:rPr>
        <w:t>, rather than its activities in isolation.</w:t>
      </w:r>
      <w:r w:rsidRPr="00DA616B">
        <w:rPr>
          <w:rFonts w:asciiTheme="minorHAnsi" w:eastAsiaTheme="minorEastAsia" w:hAnsiTheme="minorHAnsi" w:cstheme="minorHAnsi"/>
          <w:sz w:val="22"/>
          <w:szCs w:val="22"/>
          <w:vertAlign w:val="superscript"/>
          <w:lang w:val="en-US" w:eastAsia="en-US"/>
        </w:rPr>
        <w:footnoteReference w:id="73"/>
      </w:r>
      <w:r w:rsidRPr="000C1D9A">
        <w:rPr>
          <w:rFonts w:asciiTheme="minorHAnsi" w:eastAsiaTheme="minorEastAsia" w:hAnsiTheme="minorHAnsi" w:cstheme="minorHAnsi"/>
          <w:sz w:val="22"/>
          <w:szCs w:val="22"/>
          <w:lang w:val="en-US" w:eastAsia="en-US"/>
        </w:rPr>
        <w:t xml:space="preserve"> </w:t>
      </w:r>
    </w:p>
    <w:p w14:paraId="4807F712" w14:textId="77777777" w:rsidR="000C1D9A" w:rsidRPr="000C1D9A" w:rsidRDefault="000C1D9A" w:rsidP="000C1D9A">
      <w:pPr>
        <w:pStyle w:val="ListParagraph"/>
        <w:spacing w:before="120" w:after="120" w:line="276" w:lineRule="auto"/>
        <w:ind w:left="930"/>
        <w:textAlignment w:val="baseline"/>
        <w:rPr>
          <w:rFonts w:asciiTheme="minorHAnsi" w:eastAsiaTheme="minorEastAsia" w:hAnsiTheme="minorHAnsi" w:cstheme="minorHAnsi"/>
          <w:sz w:val="22"/>
          <w:szCs w:val="22"/>
          <w:lang w:val="en-US" w:eastAsia="en-US"/>
        </w:rPr>
      </w:pPr>
    </w:p>
    <w:p w14:paraId="48427BA7" w14:textId="5C93631E" w:rsidR="006423DA" w:rsidRPr="000C1D9A" w:rsidRDefault="006423DA" w:rsidP="000C1D9A">
      <w:pPr>
        <w:spacing w:before="120" w:after="120" w:line="276" w:lineRule="auto"/>
        <w:textAlignment w:val="baseline"/>
        <w:rPr>
          <w:rFonts w:asciiTheme="minorHAnsi" w:eastAsiaTheme="minorEastAsia" w:hAnsiTheme="minorHAnsi" w:cstheme="minorHAnsi"/>
          <w:color w:val="2F5496"/>
          <w:sz w:val="28"/>
          <w:szCs w:val="28"/>
          <w:lang w:val="en-US" w:eastAsia="en-US"/>
        </w:rPr>
      </w:pPr>
      <w:r w:rsidRPr="000C1D9A">
        <w:rPr>
          <w:rFonts w:asciiTheme="minorHAnsi" w:eastAsiaTheme="minorEastAsia" w:hAnsiTheme="minorHAnsi" w:cstheme="minorHAnsi"/>
          <w:color w:val="2F5496"/>
          <w:sz w:val="28"/>
          <w:szCs w:val="28"/>
          <w:lang w:val="en-US" w:eastAsia="en-US"/>
        </w:rPr>
        <w:t xml:space="preserve">Examples of </w:t>
      </w:r>
      <w:r w:rsidR="008F395B" w:rsidRPr="000C1D9A">
        <w:rPr>
          <w:rFonts w:asciiTheme="minorHAnsi" w:eastAsiaTheme="minorEastAsia" w:hAnsiTheme="minorHAnsi" w:cstheme="minorHAnsi"/>
          <w:color w:val="2F5496"/>
          <w:sz w:val="28"/>
          <w:szCs w:val="28"/>
          <w:lang w:val="en-US" w:eastAsia="en-US"/>
        </w:rPr>
        <w:t>how</w:t>
      </w:r>
      <w:r w:rsidR="007F169F">
        <w:rPr>
          <w:rFonts w:asciiTheme="minorHAnsi" w:eastAsiaTheme="minorEastAsia" w:hAnsiTheme="minorHAnsi" w:cstheme="minorHAnsi"/>
          <w:color w:val="2F5496"/>
          <w:sz w:val="28"/>
          <w:szCs w:val="28"/>
          <w:lang w:val="en-US" w:eastAsia="en-US"/>
        </w:rPr>
        <w:t xml:space="preserve"> we </w:t>
      </w:r>
      <w:r w:rsidR="008F395B" w:rsidRPr="000C1D9A">
        <w:rPr>
          <w:rFonts w:asciiTheme="minorHAnsi" w:eastAsiaTheme="minorEastAsia" w:hAnsiTheme="minorHAnsi" w:cstheme="minorHAnsi"/>
          <w:color w:val="2F5496"/>
          <w:sz w:val="28"/>
          <w:szCs w:val="28"/>
          <w:lang w:val="en-US" w:eastAsia="en-US"/>
        </w:rPr>
        <w:t>will apply this Commissioner’s Interpretation Statement</w:t>
      </w:r>
    </w:p>
    <w:p w14:paraId="600F8835" w14:textId="48483CDF" w:rsidR="00271621" w:rsidRPr="000C1D9A" w:rsidRDefault="00271621" w:rsidP="00696334">
      <w:pPr>
        <w:rPr>
          <w:rFonts w:asciiTheme="minorHAnsi" w:eastAsiaTheme="minorEastAsia" w:hAnsiTheme="minorHAnsi" w:cstheme="minorHAnsi"/>
          <w:sz w:val="22"/>
          <w:szCs w:val="22"/>
        </w:rPr>
      </w:pPr>
      <w:r w:rsidRPr="000C1D9A">
        <w:rPr>
          <w:rFonts w:asciiTheme="minorHAnsi" w:eastAsiaTheme="minorEastAsia" w:hAnsiTheme="minorHAnsi" w:cstheme="minorHAnsi"/>
          <w:sz w:val="22"/>
          <w:szCs w:val="22"/>
        </w:rPr>
        <w:t xml:space="preserve">The scenarios below are hypothetical examples of how </w:t>
      </w:r>
      <w:r w:rsidR="008F251C">
        <w:rPr>
          <w:rFonts w:asciiTheme="minorHAnsi" w:eastAsiaTheme="minorEastAsia" w:hAnsiTheme="minorHAnsi" w:cstheme="minorHAnsi"/>
          <w:sz w:val="22"/>
          <w:szCs w:val="22"/>
        </w:rPr>
        <w:t>we</w:t>
      </w:r>
      <w:r w:rsidRPr="000C1D9A">
        <w:rPr>
          <w:rFonts w:asciiTheme="minorHAnsi" w:eastAsiaTheme="minorEastAsia" w:hAnsiTheme="minorHAnsi" w:cstheme="minorHAnsi"/>
          <w:sz w:val="22"/>
          <w:szCs w:val="22"/>
        </w:rPr>
        <w:t xml:space="preserve"> will apply this Commissioner’s Interpretation Statement in practice.</w:t>
      </w:r>
    </w:p>
    <w:p w14:paraId="43D852EE" w14:textId="77777777" w:rsidR="000C1D9A" w:rsidRPr="000C1D9A" w:rsidRDefault="000C1D9A" w:rsidP="00696334">
      <w:pPr>
        <w:rPr>
          <w:rFonts w:asciiTheme="minorHAnsi" w:hAnsiTheme="minorHAnsi" w:cstheme="minorHAnsi"/>
          <w:sz w:val="22"/>
          <w:szCs w:val="22"/>
        </w:rPr>
      </w:pPr>
    </w:p>
    <w:p w14:paraId="4EE933EB" w14:textId="3649AF56" w:rsidR="00271621" w:rsidRPr="000C1D9A" w:rsidRDefault="00271621" w:rsidP="00696334">
      <w:pPr>
        <w:rPr>
          <w:rFonts w:asciiTheme="minorHAnsi" w:hAnsiTheme="minorHAnsi" w:cstheme="minorHAnsi"/>
          <w:sz w:val="22"/>
          <w:szCs w:val="22"/>
          <w:u w:val="single"/>
        </w:rPr>
      </w:pPr>
      <w:r w:rsidRPr="000C1D9A">
        <w:rPr>
          <w:rFonts w:asciiTheme="minorHAnsi" w:hAnsiTheme="minorHAnsi" w:cstheme="minorHAnsi"/>
          <w:sz w:val="22"/>
          <w:szCs w:val="22"/>
          <w:u w:val="single"/>
        </w:rPr>
        <w:t xml:space="preserve">Example </w:t>
      </w:r>
      <w:r w:rsidR="00872F0E" w:rsidRPr="000C1D9A">
        <w:rPr>
          <w:rFonts w:asciiTheme="minorHAnsi" w:hAnsiTheme="minorHAnsi" w:cstheme="minorHAnsi"/>
          <w:sz w:val="22"/>
          <w:szCs w:val="22"/>
          <w:u w:val="single"/>
        </w:rPr>
        <w:t>1</w:t>
      </w:r>
    </w:p>
    <w:p w14:paraId="54E9A635" w14:textId="77777777" w:rsidR="000C1D9A" w:rsidRPr="000C1D9A" w:rsidRDefault="000C1D9A" w:rsidP="00696334">
      <w:pPr>
        <w:rPr>
          <w:rFonts w:asciiTheme="minorHAnsi" w:hAnsiTheme="minorHAnsi" w:cstheme="minorHAnsi"/>
          <w:sz w:val="22"/>
          <w:szCs w:val="22"/>
        </w:rPr>
      </w:pPr>
    </w:p>
    <w:p w14:paraId="4994EF84" w14:textId="1D4E6159" w:rsidR="00271621" w:rsidRPr="000C1D9A" w:rsidRDefault="00271621" w:rsidP="00696334">
      <w:pPr>
        <w:rPr>
          <w:rFonts w:asciiTheme="minorHAnsi" w:hAnsiTheme="minorHAnsi" w:cstheme="minorHAnsi"/>
          <w:sz w:val="22"/>
          <w:szCs w:val="22"/>
        </w:rPr>
      </w:pPr>
      <w:r w:rsidRPr="000C1D9A">
        <w:rPr>
          <w:rFonts w:asciiTheme="minorHAnsi" w:hAnsiTheme="minorHAnsi" w:cstheme="minorHAnsi"/>
          <w:sz w:val="22"/>
          <w:szCs w:val="22"/>
        </w:rPr>
        <w:t xml:space="preserve">Benevolent Care Ltd is a public company limited by guarantee. The company pursues the following purposes: </w:t>
      </w:r>
    </w:p>
    <w:p w14:paraId="71B56D4C" w14:textId="77777777" w:rsidR="00271621" w:rsidRPr="000C1D9A" w:rsidRDefault="00271621" w:rsidP="000C1D9A">
      <w:pPr>
        <w:pStyle w:val="ListParagraph"/>
        <w:numPr>
          <w:ilvl w:val="0"/>
          <w:numId w:val="10"/>
        </w:numPr>
        <w:rPr>
          <w:rFonts w:asciiTheme="minorHAnsi" w:hAnsiTheme="minorHAnsi" w:cstheme="minorHAnsi"/>
          <w:sz w:val="22"/>
          <w:szCs w:val="22"/>
        </w:rPr>
      </w:pPr>
      <w:r w:rsidRPr="000C1D9A">
        <w:rPr>
          <w:rFonts w:asciiTheme="minorHAnsi" w:hAnsiTheme="minorHAnsi" w:cstheme="minorHAnsi"/>
          <w:sz w:val="22"/>
          <w:szCs w:val="22"/>
        </w:rPr>
        <w:t xml:space="preserve">conducting research into the causes of youth </w:t>
      </w:r>
      <w:proofErr w:type="gramStart"/>
      <w:r w:rsidRPr="000C1D9A">
        <w:rPr>
          <w:rFonts w:asciiTheme="minorHAnsi" w:hAnsiTheme="minorHAnsi" w:cstheme="minorHAnsi"/>
          <w:sz w:val="22"/>
          <w:szCs w:val="22"/>
        </w:rPr>
        <w:t>unemployment;</w:t>
      </w:r>
      <w:proofErr w:type="gramEnd"/>
      <w:r w:rsidRPr="000C1D9A">
        <w:rPr>
          <w:rFonts w:asciiTheme="minorHAnsi" w:hAnsiTheme="minorHAnsi" w:cstheme="minorHAnsi"/>
          <w:sz w:val="22"/>
          <w:szCs w:val="22"/>
        </w:rPr>
        <w:t xml:space="preserve"> </w:t>
      </w:r>
    </w:p>
    <w:p w14:paraId="582EEE59" w14:textId="2F040858" w:rsidR="00271621" w:rsidRPr="000C1D9A" w:rsidRDefault="00271621" w:rsidP="000C1D9A">
      <w:pPr>
        <w:pStyle w:val="ListParagraph"/>
        <w:numPr>
          <w:ilvl w:val="0"/>
          <w:numId w:val="10"/>
        </w:numPr>
        <w:rPr>
          <w:rFonts w:asciiTheme="minorHAnsi" w:hAnsiTheme="minorHAnsi" w:cstheme="minorHAnsi"/>
          <w:sz w:val="22"/>
          <w:szCs w:val="22"/>
        </w:rPr>
      </w:pPr>
      <w:r w:rsidRPr="000C1D9A">
        <w:rPr>
          <w:rFonts w:asciiTheme="minorHAnsi" w:hAnsiTheme="minorHAnsi" w:cstheme="minorHAnsi"/>
          <w:sz w:val="22"/>
          <w:szCs w:val="22"/>
        </w:rPr>
        <w:t xml:space="preserve">engaging in advocacy and lobbying with government and others to influence </w:t>
      </w:r>
      <w:proofErr w:type="gramStart"/>
      <w:r w:rsidRPr="000C1D9A">
        <w:rPr>
          <w:rFonts w:asciiTheme="minorHAnsi" w:hAnsiTheme="minorHAnsi" w:cstheme="minorHAnsi"/>
          <w:sz w:val="22"/>
          <w:szCs w:val="22"/>
        </w:rPr>
        <w:t>policy;</w:t>
      </w:r>
      <w:proofErr w:type="gramEnd"/>
      <w:r w:rsidRPr="000C1D9A">
        <w:rPr>
          <w:rFonts w:asciiTheme="minorHAnsi" w:hAnsiTheme="minorHAnsi" w:cstheme="minorHAnsi"/>
          <w:sz w:val="22"/>
          <w:szCs w:val="22"/>
        </w:rPr>
        <w:t xml:space="preserve"> </w:t>
      </w:r>
    </w:p>
    <w:p w14:paraId="1B7AC259" w14:textId="2BFE0FE6" w:rsidR="00271621" w:rsidRPr="000C1D9A" w:rsidRDefault="00271621" w:rsidP="000C1D9A">
      <w:pPr>
        <w:pStyle w:val="ListParagraph"/>
        <w:numPr>
          <w:ilvl w:val="0"/>
          <w:numId w:val="10"/>
        </w:numPr>
        <w:rPr>
          <w:rFonts w:asciiTheme="minorHAnsi" w:hAnsiTheme="minorHAnsi" w:cstheme="minorHAnsi"/>
          <w:sz w:val="22"/>
          <w:szCs w:val="22"/>
        </w:rPr>
      </w:pPr>
      <w:r w:rsidRPr="000C1D9A">
        <w:rPr>
          <w:rFonts w:asciiTheme="minorHAnsi" w:hAnsiTheme="minorHAnsi" w:cstheme="minorHAnsi"/>
          <w:sz w:val="22"/>
          <w:szCs w:val="22"/>
        </w:rPr>
        <w:t xml:space="preserve">raising awareness in the community about the incidence of youth unemployment and </w:t>
      </w:r>
      <w:r w:rsidR="00FC4381">
        <w:rPr>
          <w:rFonts w:asciiTheme="minorHAnsi" w:hAnsiTheme="minorHAnsi" w:cstheme="minorHAnsi"/>
          <w:sz w:val="22"/>
          <w:szCs w:val="22"/>
        </w:rPr>
        <w:t>its</w:t>
      </w:r>
      <w:r w:rsidRPr="000C1D9A">
        <w:rPr>
          <w:rFonts w:asciiTheme="minorHAnsi" w:hAnsiTheme="minorHAnsi" w:cstheme="minorHAnsi"/>
          <w:sz w:val="22"/>
          <w:szCs w:val="22"/>
        </w:rPr>
        <w:t xml:space="preserve"> </w:t>
      </w:r>
      <w:proofErr w:type="gramStart"/>
      <w:r w:rsidRPr="000C1D9A">
        <w:rPr>
          <w:rFonts w:asciiTheme="minorHAnsi" w:hAnsiTheme="minorHAnsi" w:cstheme="minorHAnsi"/>
          <w:sz w:val="22"/>
          <w:szCs w:val="22"/>
        </w:rPr>
        <w:t>effects;</w:t>
      </w:r>
      <w:proofErr w:type="gramEnd"/>
      <w:r w:rsidRPr="000C1D9A">
        <w:rPr>
          <w:rFonts w:asciiTheme="minorHAnsi" w:hAnsiTheme="minorHAnsi" w:cstheme="minorHAnsi"/>
          <w:sz w:val="22"/>
          <w:szCs w:val="22"/>
        </w:rPr>
        <w:t xml:space="preserve"> </w:t>
      </w:r>
    </w:p>
    <w:p w14:paraId="4F7E8707" w14:textId="4CB4C392" w:rsidR="00271621" w:rsidRPr="000C1D9A" w:rsidRDefault="00271621" w:rsidP="000C1D9A">
      <w:pPr>
        <w:pStyle w:val="ListParagraph"/>
        <w:numPr>
          <w:ilvl w:val="0"/>
          <w:numId w:val="10"/>
        </w:numPr>
        <w:rPr>
          <w:rFonts w:asciiTheme="minorHAnsi" w:hAnsiTheme="minorHAnsi" w:cstheme="minorHAnsi"/>
          <w:sz w:val="22"/>
          <w:szCs w:val="22"/>
        </w:rPr>
      </w:pPr>
      <w:r w:rsidRPr="000C1D9A">
        <w:rPr>
          <w:rFonts w:asciiTheme="minorHAnsi" w:hAnsiTheme="minorHAnsi" w:cstheme="minorHAnsi"/>
          <w:sz w:val="22"/>
          <w:szCs w:val="22"/>
        </w:rPr>
        <w:t>convening forums with the public and experts to discuss issues regarding youth unemployment; and</w:t>
      </w:r>
    </w:p>
    <w:p w14:paraId="440F084F" w14:textId="77777777" w:rsidR="00271621" w:rsidRPr="000C1D9A" w:rsidRDefault="00271621" w:rsidP="000C1D9A">
      <w:pPr>
        <w:pStyle w:val="ListParagraph"/>
        <w:numPr>
          <w:ilvl w:val="0"/>
          <w:numId w:val="10"/>
        </w:numPr>
        <w:rPr>
          <w:rFonts w:asciiTheme="minorHAnsi" w:hAnsiTheme="minorHAnsi" w:cstheme="minorHAnsi"/>
          <w:sz w:val="22"/>
          <w:szCs w:val="22"/>
        </w:rPr>
      </w:pPr>
      <w:r w:rsidRPr="000C1D9A">
        <w:rPr>
          <w:rFonts w:asciiTheme="minorHAnsi" w:hAnsiTheme="minorHAnsi" w:cstheme="minorHAnsi"/>
          <w:sz w:val="22"/>
          <w:szCs w:val="22"/>
        </w:rPr>
        <w:t xml:space="preserve">working with employment agencies to improve youth engagement. </w:t>
      </w:r>
    </w:p>
    <w:p w14:paraId="69B1B192" w14:textId="77777777" w:rsidR="000C1D9A" w:rsidRDefault="000C1D9A" w:rsidP="00696334">
      <w:pPr>
        <w:rPr>
          <w:rFonts w:asciiTheme="minorHAnsi" w:hAnsiTheme="minorHAnsi" w:cstheme="minorHAnsi"/>
          <w:sz w:val="22"/>
          <w:szCs w:val="22"/>
        </w:rPr>
      </w:pPr>
    </w:p>
    <w:p w14:paraId="0FBEA6B4" w14:textId="4DBF89C9" w:rsidR="00271621" w:rsidRPr="000C1D9A" w:rsidRDefault="00271621" w:rsidP="00696334">
      <w:pPr>
        <w:rPr>
          <w:rFonts w:asciiTheme="minorHAnsi" w:hAnsiTheme="minorHAnsi" w:cstheme="minorHAnsi"/>
          <w:i/>
          <w:iCs/>
          <w:sz w:val="22"/>
          <w:szCs w:val="22"/>
        </w:rPr>
      </w:pPr>
      <w:r w:rsidRPr="000C1D9A">
        <w:rPr>
          <w:rFonts w:asciiTheme="minorHAnsi" w:hAnsiTheme="minorHAnsi" w:cstheme="minorHAnsi"/>
          <w:i/>
          <w:iCs/>
          <w:sz w:val="22"/>
          <w:szCs w:val="22"/>
        </w:rPr>
        <w:t xml:space="preserve">Benevolent Care Ltd is not a PBI because its </w:t>
      </w:r>
      <w:r w:rsidR="009E5FC7" w:rsidRPr="000C1D9A">
        <w:rPr>
          <w:rFonts w:asciiTheme="minorHAnsi" w:hAnsiTheme="minorHAnsi" w:cstheme="minorHAnsi"/>
          <w:i/>
          <w:iCs/>
          <w:sz w:val="22"/>
          <w:szCs w:val="22"/>
        </w:rPr>
        <w:t>objects do not indicate a</w:t>
      </w:r>
      <w:r w:rsidR="00FC4381">
        <w:rPr>
          <w:rFonts w:asciiTheme="minorHAnsi" w:hAnsiTheme="minorHAnsi" w:cstheme="minorHAnsi"/>
          <w:i/>
          <w:iCs/>
          <w:sz w:val="22"/>
          <w:szCs w:val="22"/>
        </w:rPr>
        <w:t xml:space="preserve"> purpose of</w:t>
      </w:r>
      <w:r w:rsidRPr="000C1D9A">
        <w:rPr>
          <w:rFonts w:asciiTheme="minorHAnsi" w:hAnsiTheme="minorHAnsi" w:cstheme="minorHAnsi"/>
          <w:i/>
          <w:iCs/>
          <w:sz w:val="22"/>
          <w:szCs w:val="22"/>
        </w:rPr>
        <w:t xml:space="preserve"> benevolent relief,</w:t>
      </w:r>
      <w:r w:rsidR="00872F0E" w:rsidRPr="000C1D9A">
        <w:rPr>
          <w:rFonts w:asciiTheme="minorHAnsi" w:hAnsiTheme="minorHAnsi" w:cstheme="minorHAnsi"/>
          <w:i/>
          <w:iCs/>
          <w:sz w:val="22"/>
          <w:szCs w:val="22"/>
        </w:rPr>
        <w:t xml:space="preserve"> and there is no clear and logical connection between its activities and the relief of people with needs</w:t>
      </w:r>
      <w:r w:rsidR="00A31ACC" w:rsidRPr="000C1D9A">
        <w:rPr>
          <w:rFonts w:asciiTheme="minorHAnsi" w:hAnsiTheme="minorHAnsi" w:cstheme="minorHAnsi"/>
          <w:i/>
          <w:iCs/>
          <w:sz w:val="22"/>
          <w:szCs w:val="22"/>
        </w:rPr>
        <w:t xml:space="preserve"> that would arouse compassion in the community</w:t>
      </w:r>
      <w:r w:rsidRPr="000C1D9A">
        <w:rPr>
          <w:rFonts w:asciiTheme="minorHAnsi" w:hAnsiTheme="minorHAnsi" w:cstheme="minorHAnsi"/>
          <w:i/>
          <w:iCs/>
          <w:sz w:val="22"/>
          <w:szCs w:val="22"/>
        </w:rPr>
        <w:t>.</w:t>
      </w:r>
      <w:r w:rsidR="00FC1193" w:rsidRPr="000C1D9A">
        <w:rPr>
          <w:rFonts w:asciiTheme="minorHAnsi" w:hAnsiTheme="minorHAnsi" w:cstheme="minorHAnsi"/>
          <w:i/>
          <w:iCs/>
          <w:sz w:val="22"/>
          <w:szCs w:val="22"/>
        </w:rPr>
        <w:t xml:space="preserve"> Therefore, it does not have a </w:t>
      </w:r>
      <w:r w:rsidR="0092493D">
        <w:rPr>
          <w:rFonts w:asciiTheme="minorHAnsi" w:hAnsiTheme="minorHAnsi" w:cstheme="minorHAnsi"/>
          <w:i/>
          <w:iCs/>
          <w:sz w:val="22"/>
          <w:szCs w:val="22"/>
        </w:rPr>
        <w:t xml:space="preserve">purpose of </w:t>
      </w:r>
      <w:r w:rsidR="00FC1193" w:rsidRPr="000C1D9A">
        <w:rPr>
          <w:rFonts w:asciiTheme="minorHAnsi" w:hAnsiTheme="minorHAnsi" w:cstheme="minorHAnsi"/>
          <w:i/>
          <w:iCs/>
          <w:sz w:val="22"/>
          <w:szCs w:val="22"/>
        </w:rPr>
        <w:t>benevolent relief purpose.</w:t>
      </w:r>
      <w:r w:rsidR="008E0BB5">
        <w:rPr>
          <w:rFonts w:asciiTheme="minorHAnsi" w:hAnsiTheme="minorHAnsi" w:cstheme="minorHAnsi"/>
          <w:i/>
          <w:iCs/>
          <w:sz w:val="22"/>
          <w:szCs w:val="22"/>
        </w:rPr>
        <w:t xml:space="preserve"> Refer to paragraphs </w:t>
      </w:r>
      <w:r w:rsidR="00873D80">
        <w:rPr>
          <w:rFonts w:asciiTheme="minorHAnsi" w:hAnsiTheme="minorHAnsi" w:cstheme="minorHAnsi"/>
          <w:i/>
          <w:iCs/>
          <w:sz w:val="22"/>
          <w:szCs w:val="22"/>
        </w:rPr>
        <w:t>26 and 27 above for further detail.</w:t>
      </w:r>
    </w:p>
    <w:p w14:paraId="5CDD8EC6" w14:textId="77777777" w:rsidR="000C1D9A" w:rsidRDefault="000C1D9A" w:rsidP="00696334">
      <w:pPr>
        <w:rPr>
          <w:rFonts w:asciiTheme="minorHAnsi" w:hAnsiTheme="minorHAnsi" w:cstheme="minorHAnsi"/>
          <w:sz w:val="22"/>
          <w:szCs w:val="22"/>
        </w:rPr>
      </w:pPr>
    </w:p>
    <w:p w14:paraId="200DFF5D" w14:textId="53D114C4" w:rsidR="00271621" w:rsidRPr="000C1D9A" w:rsidRDefault="00271621" w:rsidP="00696334">
      <w:pPr>
        <w:rPr>
          <w:rFonts w:asciiTheme="minorHAnsi" w:hAnsiTheme="minorHAnsi" w:cstheme="minorHAnsi"/>
          <w:sz w:val="22"/>
          <w:szCs w:val="22"/>
          <w:u w:val="single"/>
        </w:rPr>
      </w:pPr>
      <w:r w:rsidRPr="000C1D9A">
        <w:rPr>
          <w:rFonts w:asciiTheme="minorHAnsi" w:hAnsiTheme="minorHAnsi" w:cstheme="minorHAnsi"/>
          <w:sz w:val="22"/>
          <w:szCs w:val="22"/>
          <w:u w:val="single"/>
        </w:rPr>
        <w:t xml:space="preserve">Example </w:t>
      </w:r>
      <w:r w:rsidR="00FC1193" w:rsidRPr="000C1D9A">
        <w:rPr>
          <w:rFonts w:asciiTheme="minorHAnsi" w:hAnsiTheme="minorHAnsi" w:cstheme="minorHAnsi"/>
          <w:sz w:val="22"/>
          <w:szCs w:val="22"/>
          <w:u w:val="single"/>
        </w:rPr>
        <w:t>2</w:t>
      </w:r>
    </w:p>
    <w:p w14:paraId="06DED27D" w14:textId="77777777" w:rsidR="000C1D9A" w:rsidRDefault="000C1D9A" w:rsidP="00696334">
      <w:pPr>
        <w:rPr>
          <w:rFonts w:asciiTheme="minorHAnsi" w:hAnsiTheme="minorHAnsi" w:cstheme="minorHAnsi"/>
          <w:sz w:val="22"/>
          <w:szCs w:val="22"/>
        </w:rPr>
      </w:pPr>
    </w:p>
    <w:p w14:paraId="540A608F" w14:textId="69240718" w:rsidR="00271621" w:rsidRPr="000C1D9A" w:rsidRDefault="00271621" w:rsidP="00696334">
      <w:pPr>
        <w:rPr>
          <w:rFonts w:asciiTheme="minorHAnsi" w:hAnsiTheme="minorHAnsi" w:cstheme="minorHAnsi"/>
          <w:sz w:val="22"/>
          <w:szCs w:val="22"/>
        </w:rPr>
      </w:pPr>
      <w:r w:rsidRPr="000C1D9A">
        <w:rPr>
          <w:rFonts w:asciiTheme="minorHAnsi" w:hAnsiTheme="minorHAnsi" w:cstheme="minorHAnsi"/>
          <w:sz w:val="22"/>
          <w:szCs w:val="22"/>
        </w:rPr>
        <w:t>Parkhurst Clinic Ltd is a specialist clinic in an affluent area of Melbourne</w:t>
      </w:r>
      <w:r w:rsidR="001B7D60">
        <w:rPr>
          <w:rFonts w:asciiTheme="minorHAnsi" w:hAnsiTheme="minorHAnsi" w:cstheme="minorHAnsi"/>
          <w:sz w:val="22"/>
          <w:szCs w:val="22"/>
        </w:rPr>
        <w:t>.</w:t>
      </w:r>
      <w:r w:rsidRPr="000C1D9A">
        <w:rPr>
          <w:rFonts w:asciiTheme="minorHAnsi" w:hAnsiTheme="minorHAnsi" w:cstheme="minorHAnsi"/>
          <w:sz w:val="22"/>
          <w:szCs w:val="22"/>
        </w:rPr>
        <w:t xml:space="preserve"> </w:t>
      </w:r>
      <w:r w:rsidR="001B7D60">
        <w:rPr>
          <w:rFonts w:asciiTheme="minorHAnsi" w:hAnsiTheme="minorHAnsi" w:cstheme="minorHAnsi"/>
          <w:sz w:val="22"/>
          <w:szCs w:val="22"/>
        </w:rPr>
        <w:t>The clinic’s</w:t>
      </w:r>
      <w:r w:rsidR="00042502">
        <w:rPr>
          <w:rFonts w:asciiTheme="minorHAnsi" w:hAnsiTheme="minorHAnsi" w:cstheme="minorHAnsi"/>
          <w:sz w:val="22"/>
          <w:szCs w:val="22"/>
        </w:rPr>
        <w:t xml:space="preserve"> object is to </w:t>
      </w:r>
      <w:r w:rsidR="005918A3">
        <w:rPr>
          <w:rFonts w:asciiTheme="minorHAnsi" w:hAnsiTheme="minorHAnsi" w:cstheme="minorHAnsi"/>
          <w:sz w:val="22"/>
          <w:szCs w:val="22"/>
        </w:rPr>
        <w:t>treat mental illness</w:t>
      </w:r>
      <w:r w:rsidR="003E7119">
        <w:rPr>
          <w:rFonts w:asciiTheme="minorHAnsi" w:hAnsiTheme="minorHAnsi" w:cstheme="minorHAnsi"/>
          <w:sz w:val="22"/>
          <w:szCs w:val="22"/>
        </w:rPr>
        <w:t>.</w:t>
      </w:r>
      <w:r w:rsidRPr="000C1D9A">
        <w:rPr>
          <w:rFonts w:asciiTheme="minorHAnsi" w:hAnsiTheme="minorHAnsi" w:cstheme="minorHAnsi"/>
          <w:sz w:val="22"/>
          <w:szCs w:val="22"/>
        </w:rPr>
        <w:t xml:space="preserve"> </w:t>
      </w:r>
      <w:r w:rsidR="003E7119">
        <w:rPr>
          <w:rFonts w:asciiTheme="minorHAnsi" w:hAnsiTheme="minorHAnsi" w:cstheme="minorHAnsi"/>
          <w:sz w:val="22"/>
          <w:szCs w:val="22"/>
        </w:rPr>
        <w:t>The clinic</w:t>
      </w:r>
      <w:r w:rsidR="00390C76">
        <w:rPr>
          <w:rFonts w:asciiTheme="minorHAnsi" w:hAnsiTheme="minorHAnsi" w:cstheme="minorHAnsi"/>
          <w:sz w:val="22"/>
          <w:szCs w:val="22"/>
        </w:rPr>
        <w:t xml:space="preserve"> relieves the suffering of its patients </w:t>
      </w:r>
      <w:r w:rsidR="00D252E0">
        <w:rPr>
          <w:rFonts w:asciiTheme="minorHAnsi" w:hAnsiTheme="minorHAnsi" w:cstheme="minorHAnsi"/>
          <w:sz w:val="22"/>
          <w:szCs w:val="22"/>
        </w:rPr>
        <w:t xml:space="preserve">by </w:t>
      </w:r>
      <w:r w:rsidR="00390C76">
        <w:rPr>
          <w:rFonts w:asciiTheme="minorHAnsi" w:hAnsiTheme="minorHAnsi" w:cstheme="minorHAnsi"/>
          <w:sz w:val="22"/>
          <w:szCs w:val="22"/>
        </w:rPr>
        <w:t xml:space="preserve">providing </w:t>
      </w:r>
      <w:r w:rsidR="00E5220A">
        <w:rPr>
          <w:rFonts w:asciiTheme="minorHAnsi" w:hAnsiTheme="minorHAnsi" w:cstheme="minorHAnsi"/>
          <w:sz w:val="22"/>
          <w:szCs w:val="22"/>
        </w:rPr>
        <w:t>psychiatric treatment.</w:t>
      </w:r>
      <w:r w:rsidR="001B7D60">
        <w:rPr>
          <w:rFonts w:asciiTheme="minorHAnsi" w:hAnsiTheme="minorHAnsi" w:cstheme="minorHAnsi"/>
          <w:sz w:val="22"/>
          <w:szCs w:val="22"/>
        </w:rPr>
        <w:t xml:space="preserve"> M</w:t>
      </w:r>
      <w:r w:rsidR="001B7D60" w:rsidRPr="001B7D60">
        <w:rPr>
          <w:rFonts w:asciiTheme="minorHAnsi" w:hAnsiTheme="minorHAnsi" w:cstheme="minorHAnsi"/>
          <w:sz w:val="22"/>
          <w:szCs w:val="22"/>
        </w:rPr>
        <w:t xml:space="preserve">ost of </w:t>
      </w:r>
      <w:r w:rsidR="001B7D60">
        <w:rPr>
          <w:rFonts w:asciiTheme="minorHAnsi" w:hAnsiTheme="minorHAnsi" w:cstheme="minorHAnsi"/>
          <w:sz w:val="22"/>
          <w:szCs w:val="22"/>
        </w:rPr>
        <w:t>the clinic’s</w:t>
      </w:r>
      <w:r w:rsidR="001B7D60" w:rsidRPr="001B7D60">
        <w:rPr>
          <w:rFonts w:asciiTheme="minorHAnsi" w:hAnsiTheme="minorHAnsi" w:cstheme="minorHAnsi"/>
          <w:sz w:val="22"/>
          <w:szCs w:val="22"/>
        </w:rPr>
        <w:t xml:space="preserve"> patients are financially</w:t>
      </w:r>
      <w:r w:rsidR="002B4554">
        <w:rPr>
          <w:rFonts w:asciiTheme="minorHAnsi" w:hAnsiTheme="minorHAnsi" w:cstheme="minorHAnsi"/>
          <w:sz w:val="22"/>
          <w:szCs w:val="22"/>
        </w:rPr>
        <w:t xml:space="preserve"> </w:t>
      </w:r>
      <w:r w:rsidR="0016422C">
        <w:rPr>
          <w:rFonts w:asciiTheme="minorHAnsi" w:hAnsiTheme="minorHAnsi" w:cstheme="minorHAnsi"/>
          <w:sz w:val="22"/>
          <w:szCs w:val="22"/>
        </w:rPr>
        <w:t xml:space="preserve">comfortable </w:t>
      </w:r>
      <w:r w:rsidR="002B4554">
        <w:rPr>
          <w:rFonts w:asciiTheme="minorHAnsi" w:hAnsiTheme="minorHAnsi" w:cstheme="minorHAnsi"/>
          <w:sz w:val="22"/>
          <w:szCs w:val="22"/>
        </w:rPr>
        <w:t xml:space="preserve">and pay a similar amount for their treatment that they would pay </w:t>
      </w:r>
      <w:r w:rsidR="00DF4B70">
        <w:rPr>
          <w:rFonts w:asciiTheme="minorHAnsi" w:hAnsiTheme="minorHAnsi" w:cstheme="minorHAnsi"/>
          <w:sz w:val="22"/>
          <w:szCs w:val="22"/>
        </w:rPr>
        <w:t>if they attended a private medical practice.</w:t>
      </w:r>
    </w:p>
    <w:p w14:paraId="156FC933" w14:textId="77777777" w:rsidR="000C1D9A" w:rsidRDefault="000C1D9A" w:rsidP="00696334">
      <w:pPr>
        <w:rPr>
          <w:rFonts w:asciiTheme="minorHAnsi" w:hAnsiTheme="minorHAnsi" w:cstheme="minorHAnsi"/>
          <w:sz w:val="22"/>
          <w:szCs w:val="22"/>
        </w:rPr>
      </w:pPr>
    </w:p>
    <w:p w14:paraId="2D273C9F" w14:textId="651CB1C2" w:rsidR="00271621" w:rsidRPr="00390C76" w:rsidRDefault="00271621" w:rsidP="00696334">
      <w:pPr>
        <w:rPr>
          <w:rFonts w:asciiTheme="minorHAnsi" w:hAnsiTheme="minorHAnsi" w:cstheme="minorHAnsi"/>
          <w:i/>
          <w:iCs/>
          <w:sz w:val="22"/>
          <w:szCs w:val="22"/>
        </w:rPr>
      </w:pPr>
      <w:r w:rsidRPr="00390C76">
        <w:rPr>
          <w:rFonts w:asciiTheme="minorHAnsi" w:hAnsiTheme="minorHAnsi" w:cstheme="minorHAnsi"/>
          <w:i/>
          <w:iCs/>
          <w:sz w:val="22"/>
          <w:szCs w:val="22"/>
        </w:rPr>
        <w:t xml:space="preserve">Parkhurst Clinic Ltd may be a PBI </w:t>
      </w:r>
      <w:r w:rsidR="009C20C3" w:rsidRPr="00390C76">
        <w:rPr>
          <w:rFonts w:asciiTheme="minorHAnsi" w:hAnsiTheme="minorHAnsi" w:cstheme="minorHAnsi"/>
          <w:i/>
          <w:iCs/>
          <w:sz w:val="22"/>
          <w:szCs w:val="22"/>
        </w:rPr>
        <w:t>even though</w:t>
      </w:r>
      <w:r w:rsidRPr="00390C76">
        <w:rPr>
          <w:rFonts w:asciiTheme="minorHAnsi" w:hAnsiTheme="minorHAnsi" w:cstheme="minorHAnsi"/>
          <w:i/>
          <w:iCs/>
          <w:sz w:val="22"/>
          <w:szCs w:val="22"/>
        </w:rPr>
        <w:t xml:space="preserve"> many of its patients are not in financial need. The</w:t>
      </w:r>
      <w:r w:rsidR="00E14783" w:rsidRPr="00390C76">
        <w:rPr>
          <w:rFonts w:asciiTheme="minorHAnsi" w:hAnsiTheme="minorHAnsi" w:cstheme="minorHAnsi"/>
          <w:i/>
          <w:iCs/>
          <w:sz w:val="22"/>
          <w:szCs w:val="22"/>
        </w:rPr>
        <w:t xml:space="preserve"> patients </w:t>
      </w:r>
      <w:r w:rsidRPr="00390C76">
        <w:rPr>
          <w:rFonts w:asciiTheme="minorHAnsi" w:hAnsiTheme="minorHAnsi" w:cstheme="minorHAnsi"/>
          <w:i/>
          <w:iCs/>
          <w:sz w:val="22"/>
          <w:szCs w:val="22"/>
        </w:rPr>
        <w:t xml:space="preserve">are “in need” because of their illness. Refer to paragraph </w:t>
      </w:r>
      <w:r w:rsidR="00CE01EE" w:rsidRPr="00390C76">
        <w:rPr>
          <w:rFonts w:asciiTheme="minorHAnsi" w:hAnsiTheme="minorHAnsi" w:cstheme="minorHAnsi"/>
          <w:i/>
          <w:iCs/>
          <w:sz w:val="22"/>
          <w:szCs w:val="22"/>
        </w:rPr>
        <w:t>1</w:t>
      </w:r>
      <w:r w:rsidR="00D43A09">
        <w:rPr>
          <w:rFonts w:asciiTheme="minorHAnsi" w:hAnsiTheme="minorHAnsi" w:cstheme="minorHAnsi"/>
          <w:i/>
          <w:iCs/>
          <w:sz w:val="22"/>
          <w:szCs w:val="22"/>
        </w:rPr>
        <w:t>7</w:t>
      </w:r>
      <w:r w:rsidRPr="00390C76">
        <w:rPr>
          <w:rFonts w:asciiTheme="minorHAnsi" w:hAnsiTheme="minorHAnsi" w:cstheme="minorHAnsi"/>
          <w:i/>
          <w:iCs/>
          <w:sz w:val="22"/>
          <w:szCs w:val="22"/>
        </w:rPr>
        <w:t xml:space="preserve"> above for </w:t>
      </w:r>
      <w:r w:rsidR="001550EB">
        <w:rPr>
          <w:rFonts w:asciiTheme="minorHAnsi" w:hAnsiTheme="minorHAnsi" w:cstheme="minorHAnsi"/>
          <w:i/>
          <w:iCs/>
          <w:sz w:val="22"/>
          <w:szCs w:val="22"/>
        </w:rPr>
        <w:t>further</w:t>
      </w:r>
      <w:r w:rsidRPr="00390C76">
        <w:rPr>
          <w:rFonts w:asciiTheme="minorHAnsi" w:hAnsiTheme="minorHAnsi" w:cstheme="minorHAnsi"/>
          <w:i/>
          <w:iCs/>
          <w:sz w:val="22"/>
          <w:szCs w:val="22"/>
        </w:rPr>
        <w:t xml:space="preserve"> detail. See also the case of </w:t>
      </w:r>
      <w:r w:rsidRPr="0047129F">
        <w:rPr>
          <w:rFonts w:asciiTheme="minorHAnsi" w:hAnsiTheme="minorHAnsi" w:cstheme="minorHAnsi"/>
          <w:i/>
          <w:iCs/>
          <w:sz w:val="22"/>
          <w:szCs w:val="22"/>
        </w:rPr>
        <w:t xml:space="preserve">Commissioner of Pay-roll Tax v </w:t>
      </w:r>
      <w:proofErr w:type="spellStart"/>
      <w:r w:rsidRPr="0047129F">
        <w:rPr>
          <w:rFonts w:asciiTheme="minorHAnsi" w:hAnsiTheme="minorHAnsi" w:cstheme="minorHAnsi"/>
          <w:i/>
          <w:iCs/>
          <w:sz w:val="22"/>
          <w:szCs w:val="22"/>
        </w:rPr>
        <w:t>Cairnmillar</w:t>
      </w:r>
      <w:proofErr w:type="spellEnd"/>
      <w:r w:rsidRPr="0047129F">
        <w:rPr>
          <w:rFonts w:asciiTheme="minorHAnsi" w:hAnsiTheme="minorHAnsi" w:cstheme="minorHAnsi"/>
          <w:i/>
          <w:iCs/>
          <w:sz w:val="22"/>
          <w:szCs w:val="22"/>
        </w:rPr>
        <w:t xml:space="preserve"> Institute</w:t>
      </w:r>
      <w:r w:rsidRPr="00390C76">
        <w:rPr>
          <w:rFonts w:asciiTheme="minorHAnsi" w:hAnsiTheme="minorHAnsi" w:cstheme="minorHAnsi"/>
          <w:i/>
          <w:iCs/>
          <w:sz w:val="22"/>
          <w:szCs w:val="22"/>
        </w:rPr>
        <w:t xml:space="preserve"> </w:t>
      </w:r>
      <w:r w:rsidRPr="0047129F">
        <w:rPr>
          <w:rFonts w:asciiTheme="minorHAnsi" w:hAnsiTheme="minorHAnsi" w:cstheme="minorHAnsi"/>
          <w:sz w:val="22"/>
          <w:szCs w:val="22"/>
        </w:rPr>
        <w:t>[1992] 2 VR 706</w:t>
      </w:r>
      <w:r w:rsidRPr="00390C76">
        <w:rPr>
          <w:rFonts w:asciiTheme="minorHAnsi" w:hAnsiTheme="minorHAnsi" w:cstheme="minorHAnsi"/>
          <w:i/>
          <w:iCs/>
          <w:sz w:val="22"/>
          <w:szCs w:val="22"/>
        </w:rPr>
        <w:t>.</w:t>
      </w:r>
    </w:p>
    <w:p w14:paraId="363233E2" w14:textId="77777777" w:rsidR="000C1D9A" w:rsidRDefault="000C1D9A" w:rsidP="00696334">
      <w:pPr>
        <w:rPr>
          <w:rFonts w:asciiTheme="minorHAnsi" w:hAnsiTheme="minorHAnsi" w:cstheme="minorHAnsi"/>
          <w:sz w:val="22"/>
          <w:szCs w:val="22"/>
        </w:rPr>
      </w:pPr>
    </w:p>
    <w:p w14:paraId="554D5E1A" w14:textId="4E658DD3" w:rsidR="00271621" w:rsidRPr="00E5220A" w:rsidRDefault="00271621" w:rsidP="00696334">
      <w:pPr>
        <w:rPr>
          <w:rFonts w:asciiTheme="minorHAnsi" w:hAnsiTheme="minorHAnsi" w:cstheme="minorHAnsi"/>
          <w:sz w:val="22"/>
          <w:szCs w:val="22"/>
          <w:u w:val="single"/>
        </w:rPr>
      </w:pPr>
      <w:r w:rsidRPr="00E5220A">
        <w:rPr>
          <w:rFonts w:asciiTheme="minorHAnsi" w:hAnsiTheme="minorHAnsi" w:cstheme="minorHAnsi"/>
          <w:sz w:val="22"/>
          <w:szCs w:val="22"/>
          <w:u w:val="single"/>
        </w:rPr>
        <w:t xml:space="preserve">Example </w:t>
      </w:r>
      <w:r w:rsidR="00CE01EE" w:rsidRPr="00E5220A">
        <w:rPr>
          <w:rFonts w:asciiTheme="minorHAnsi" w:hAnsiTheme="minorHAnsi" w:cstheme="minorHAnsi"/>
          <w:sz w:val="22"/>
          <w:szCs w:val="22"/>
          <w:u w:val="single"/>
        </w:rPr>
        <w:t>3</w:t>
      </w:r>
      <w:r w:rsidRPr="00E5220A">
        <w:rPr>
          <w:rFonts w:asciiTheme="minorHAnsi" w:hAnsiTheme="minorHAnsi" w:cstheme="minorHAnsi"/>
          <w:sz w:val="22"/>
          <w:szCs w:val="22"/>
          <w:u w:val="single"/>
        </w:rPr>
        <w:t xml:space="preserve"> </w:t>
      </w:r>
    </w:p>
    <w:p w14:paraId="28FEB2EB" w14:textId="77777777" w:rsidR="00E5220A" w:rsidRPr="000C1D9A" w:rsidRDefault="00E5220A" w:rsidP="00696334">
      <w:pPr>
        <w:rPr>
          <w:rFonts w:asciiTheme="minorHAnsi" w:hAnsiTheme="minorHAnsi" w:cstheme="minorHAnsi"/>
          <w:sz w:val="22"/>
          <w:szCs w:val="22"/>
        </w:rPr>
      </w:pPr>
    </w:p>
    <w:p w14:paraId="141FEA15" w14:textId="5C41F735" w:rsidR="00271621" w:rsidRPr="000C1D9A" w:rsidRDefault="00271621" w:rsidP="00696334">
      <w:pPr>
        <w:rPr>
          <w:rFonts w:asciiTheme="minorHAnsi" w:hAnsiTheme="minorHAnsi" w:cstheme="minorHAnsi"/>
          <w:sz w:val="22"/>
          <w:szCs w:val="22"/>
        </w:rPr>
      </w:pPr>
      <w:r w:rsidRPr="000C1D9A">
        <w:rPr>
          <w:rFonts w:asciiTheme="minorHAnsi" w:hAnsiTheme="minorHAnsi" w:cstheme="minorHAnsi"/>
          <w:sz w:val="22"/>
          <w:szCs w:val="22"/>
        </w:rPr>
        <w:lastRenderedPageBreak/>
        <w:t xml:space="preserve">The Christian Church of Carrara was established to operate a church </w:t>
      </w:r>
      <w:r w:rsidR="004D18D0">
        <w:rPr>
          <w:rFonts w:asciiTheme="minorHAnsi" w:hAnsiTheme="minorHAnsi" w:cstheme="minorHAnsi"/>
          <w:sz w:val="22"/>
          <w:szCs w:val="22"/>
        </w:rPr>
        <w:t>that</w:t>
      </w:r>
      <w:r w:rsidR="004D18D0" w:rsidRPr="000C1D9A">
        <w:rPr>
          <w:rFonts w:asciiTheme="minorHAnsi" w:hAnsiTheme="minorHAnsi" w:cstheme="minorHAnsi"/>
          <w:sz w:val="22"/>
          <w:szCs w:val="22"/>
        </w:rPr>
        <w:t xml:space="preserve"> </w:t>
      </w:r>
      <w:r w:rsidR="00E82DB2">
        <w:rPr>
          <w:rFonts w:asciiTheme="minorHAnsi" w:hAnsiTheme="minorHAnsi" w:cstheme="minorHAnsi"/>
          <w:sz w:val="22"/>
          <w:szCs w:val="22"/>
        </w:rPr>
        <w:t xml:space="preserve">holds weekly public worship services </w:t>
      </w:r>
      <w:r w:rsidRPr="000C1D9A">
        <w:rPr>
          <w:rFonts w:asciiTheme="minorHAnsi" w:hAnsiTheme="minorHAnsi" w:cstheme="minorHAnsi"/>
          <w:sz w:val="22"/>
          <w:szCs w:val="22"/>
        </w:rPr>
        <w:t xml:space="preserve">and </w:t>
      </w:r>
      <w:r w:rsidR="002C175B">
        <w:rPr>
          <w:rFonts w:asciiTheme="minorHAnsi" w:hAnsiTheme="minorHAnsi" w:cstheme="minorHAnsi"/>
          <w:sz w:val="22"/>
          <w:szCs w:val="22"/>
        </w:rPr>
        <w:t>holds bible study classes and prayer meetings</w:t>
      </w:r>
      <w:r w:rsidRPr="000C1D9A">
        <w:rPr>
          <w:rFonts w:asciiTheme="minorHAnsi" w:hAnsiTheme="minorHAnsi" w:cstheme="minorHAnsi"/>
          <w:sz w:val="22"/>
          <w:szCs w:val="22"/>
        </w:rPr>
        <w:t xml:space="preserve">. In furtherance of the Christian faith, the </w:t>
      </w:r>
      <w:r w:rsidR="00C915D0">
        <w:rPr>
          <w:rFonts w:asciiTheme="minorHAnsi" w:hAnsiTheme="minorHAnsi" w:cstheme="minorHAnsi"/>
          <w:sz w:val="22"/>
          <w:szCs w:val="22"/>
        </w:rPr>
        <w:t>c</w:t>
      </w:r>
      <w:r w:rsidRPr="000C1D9A">
        <w:rPr>
          <w:rFonts w:asciiTheme="minorHAnsi" w:hAnsiTheme="minorHAnsi" w:cstheme="minorHAnsi"/>
          <w:sz w:val="22"/>
          <w:szCs w:val="22"/>
        </w:rPr>
        <w:t xml:space="preserve">hurch also </w:t>
      </w:r>
      <w:r w:rsidR="00C915D0">
        <w:rPr>
          <w:rFonts w:asciiTheme="minorHAnsi" w:hAnsiTheme="minorHAnsi" w:cstheme="minorHAnsi"/>
          <w:sz w:val="22"/>
          <w:szCs w:val="22"/>
        </w:rPr>
        <w:t>runs</w:t>
      </w:r>
      <w:r w:rsidR="00C915D0" w:rsidRPr="000C1D9A">
        <w:rPr>
          <w:rFonts w:asciiTheme="minorHAnsi" w:hAnsiTheme="minorHAnsi" w:cstheme="minorHAnsi"/>
          <w:sz w:val="22"/>
          <w:szCs w:val="22"/>
        </w:rPr>
        <w:t xml:space="preserve"> </w:t>
      </w:r>
      <w:r w:rsidRPr="000C1D9A">
        <w:rPr>
          <w:rFonts w:asciiTheme="minorHAnsi" w:hAnsiTheme="minorHAnsi" w:cstheme="minorHAnsi"/>
          <w:sz w:val="22"/>
          <w:szCs w:val="22"/>
        </w:rPr>
        <w:t xml:space="preserve">a food bank and soup van ministry </w:t>
      </w:r>
      <w:r w:rsidR="00954C3F">
        <w:rPr>
          <w:rFonts w:asciiTheme="minorHAnsi" w:hAnsiTheme="minorHAnsi" w:cstheme="minorHAnsi"/>
          <w:sz w:val="22"/>
          <w:szCs w:val="22"/>
        </w:rPr>
        <w:t>for</w:t>
      </w:r>
      <w:r w:rsidR="00954C3F" w:rsidRPr="000C1D9A">
        <w:rPr>
          <w:rFonts w:asciiTheme="minorHAnsi" w:hAnsiTheme="minorHAnsi" w:cstheme="minorHAnsi"/>
          <w:sz w:val="22"/>
          <w:szCs w:val="22"/>
        </w:rPr>
        <w:t xml:space="preserve"> </w:t>
      </w:r>
      <w:r w:rsidRPr="000C1D9A">
        <w:rPr>
          <w:rFonts w:asciiTheme="minorHAnsi" w:hAnsiTheme="minorHAnsi" w:cstheme="minorHAnsi"/>
          <w:sz w:val="22"/>
          <w:szCs w:val="22"/>
        </w:rPr>
        <w:t xml:space="preserve">the homeless in its neighbourhood on Tuesday nights. The objects clause of the </w:t>
      </w:r>
      <w:r w:rsidR="00954C3F">
        <w:rPr>
          <w:rFonts w:asciiTheme="minorHAnsi" w:hAnsiTheme="minorHAnsi" w:cstheme="minorHAnsi"/>
          <w:sz w:val="22"/>
          <w:szCs w:val="22"/>
        </w:rPr>
        <w:t>c</w:t>
      </w:r>
      <w:r w:rsidR="009C0789" w:rsidRPr="000C1D9A">
        <w:rPr>
          <w:rFonts w:asciiTheme="minorHAnsi" w:hAnsiTheme="minorHAnsi" w:cstheme="minorHAnsi"/>
          <w:sz w:val="22"/>
          <w:szCs w:val="22"/>
        </w:rPr>
        <w:t>hurch’</w:t>
      </w:r>
      <w:r w:rsidRPr="000C1D9A">
        <w:rPr>
          <w:rFonts w:asciiTheme="minorHAnsi" w:hAnsiTheme="minorHAnsi" w:cstheme="minorHAnsi"/>
          <w:sz w:val="22"/>
          <w:szCs w:val="22"/>
        </w:rPr>
        <w:t xml:space="preserve">s constitution emphasises the advancement of the Christian religion. </w:t>
      </w:r>
    </w:p>
    <w:p w14:paraId="2113CABA" w14:textId="77777777" w:rsidR="00E5220A" w:rsidRDefault="00E5220A" w:rsidP="00696334">
      <w:pPr>
        <w:rPr>
          <w:rFonts w:asciiTheme="minorHAnsi" w:hAnsiTheme="minorHAnsi" w:cstheme="minorHAnsi"/>
          <w:sz w:val="22"/>
          <w:szCs w:val="22"/>
        </w:rPr>
      </w:pPr>
    </w:p>
    <w:p w14:paraId="2763EAEB" w14:textId="1386C478" w:rsidR="00271621" w:rsidRPr="00E5220A" w:rsidRDefault="00CE01EE" w:rsidP="00696334">
      <w:pPr>
        <w:rPr>
          <w:rFonts w:asciiTheme="minorHAnsi" w:hAnsiTheme="minorHAnsi" w:cstheme="minorHAnsi"/>
          <w:i/>
          <w:iCs/>
          <w:sz w:val="22"/>
          <w:szCs w:val="22"/>
        </w:rPr>
      </w:pPr>
      <w:r w:rsidRPr="00E5220A">
        <w:rPr>
          <w:rFonts w:asciiTheme="minorHAnsi" w:hAnsiTheme="minorHAnsi" w:cstheme="minorHAnsi"/>
          <w:i/>
          <w:iCs/>
          <w:sz w:val="22"/>
          <w:szCs w:val="22"/>
        </w:rPr>
        <w:t xml:space="preserve">The Christian Church of Carrara </w:t>
      </w:r>
      <w:r w:rsidR="00271621" w:rsidRPr="00E5220A">
        <w:rPr>
          <w:rFonts w:asciiTheme="minorHAnsi" w:hAnsiTheme="minorHAnsi" w:cstheme="minorHAnsi"/>
          <w:i/>
          <w:iCs/>
          <w:sz w:val="22"/>
          <w:szCs w:val="22"/>
        </w:rPr>
        <w:t>is unlikely to be a PBI. Although it provide</w:t>
      </w:r>
      <w:r w:rsidR="00AC655A" w:rsidRPr="00E5220A">
        <w:rPr>
          <w:rFonts w:asciiTheme="minorHAnsi" w:hAnsiTheme="minorHAnsi" w:cstheme="minorHAnsi"/>
          <w:i/>
          <w:iCs/>
          <w:sz w:val="22"/>
          <w:szCs w:val="22"/>
        </w:rPr>
        <w:t>s</w:t>
      </w:r>
      <w:r w:rsidR="00271621" w:rsidRPr="00E5220A">
        <w:rPr>
          <w:rFonts w:asciiTheme="minorHAnsi" w:hAnsiTheme="minorHAnsi" w:cstheme="minorHAnsi"/>
          <w:i/>
          <w:iCs/>
          <w:sz w:val="22"/>
          <w:szCs w:val="22"/>
        </w:rPr>
        <w:t xml:space="preserve"> some benevolent relief, its main purpose appears to be advancing religion. However, if the food bank and soup van were organised in a separate </w:t>
      </w:r>
      <w:r w:rsidR="00AC655A" w:rsidRPr="00E5220A">
        <w:rPr>
          <w:rFonts w:asciiTheme="minorHAnsi" w:hAnsiTheme="minorHAnsi" w:cstheme="minorHAnsi"/>
          <w:i/>
          <w:iCs/>
          <w:sz w:val="22"/>
          <w:szCs w:val="22"/>
        </w:rPr>
        <w:t>charity</w:t>
      </w:r>
      <w:r w:rsidR="00271621" w:rsidRPr="00E5220A">
        <w:rPr>
          <w:rFonts w:asciiTheme="minorHAnsi" w:hAnsiTheme="minorHAnsi" w:cstheme="minorHAnsi"/>
          <w:i/>
          <w:iCs/>
          <w:sz w:val="22"/>
          <w:szCs w:val="22"/>
        </w:rPr>
        <w:t xml:space="preserve">, that </w:t>
      </w:r>
      <w:r w:rsidR="00AC655A" w:rsidRPr="00E5220A">
        <w:rPr>
          <w:rFonts w:asciiTheme="minorHAnsi" w:hAnsiTheme="minorHAnsi" w:cstheme="minorHAnsi"/>
          <w:i/>
          <w:iCs/>
          <w:sz w:val="22"/>
          <w:szCs w:val="22"/>
        </w:rPr>
        <w:t>char</w:t>
      </w:r>
      <w:r w:rsidR="00271621" w:rsidRPr="00E5220A">
        <w:rPr>
          <w:rFonts w:asciiTheme="minorHAnsi" w:hAnsiTheme="minorHAnsi" w:cstheme="minorHAnsi"/>
          <w:i/>
          <w:iCs/>
          <w:sz w:val="22"/>
          <w:szCs w:val="22"/>
        </w:rPr>
        <w:t xml:space="preserve">ity may be a PBI. </w:t>
      </w:r>
      <w:r w:rsidR="00FB5DC3">
        <w:rPr>
          <w:rFonts w:asciiTheme="minorHAnsi" w:hAnsiTheme="minorHAnsi" w:cstheme="minorHAnsi"/>
          <w:i/>
          <w:iCs/>
          <w:sz w:val="22"/>
          <w:szCs w:val="22"/>
        </w:rPr>
        <w:t>Refer to paragraphs 34 to 38 above for further detail.</w:t>
      </w:r>
      <w:r w:rsidR="00271621" w:rsidRPr="00E5220A">
        <w:rPr>
          <w:rFonts w:asciiTheme="minorHAnsi" w:hAnsiTheme="minorHAnsi" w:cstheme="minorHAnsi"/>
          <w:i/>
          <w:iCs/>
          <w:sz w:val="22"/>
          <w:szCs w:val="22"/>
        </w:rPr>
        <w:t xml:space="preserve"> </w:t>
      </w:r>
    </w:p>
    <w:p w14:paraId="4E5CE493" w14:textId="77777777" w:rsidR="00E5220A" w:rsidRDefault="00E5220A" w:rsidP="00696334">
      <w:pPr>
        <w:rPr>
          <w:rFonts w:asciiTheme="minorHAnsi" w:hAnsiTheme="minorHAnsi" w:cstheme="minorHAnsi"/>
          <w:sz w:val="22"/>
          <w:szCs w:val="22"/>
        </w:rPr>
      </w:pPr>
    </w:p>
    <w:p w14:paraId="242A0266" w14:textId="0F5516EB" w:rsidR="00271621" w:rsidRPr="00E5220A" w:rsidRDefault="00271621" w:rsidP="00696334">
      <w:pPr>
        <w:rPr>
          <w:rFonts w:asciiTheme="minorHAnsi" w:hAnsiTheme="minorHAnsi" w:cstheme="minorHAnsi"/>
          <w:sz w:val="22"/>
          <w:szCs w:val="22"/>
          <w:u w:val="single"/>
        </w:rPr>
      </w:pPr>
      <w:r w:rsidRPr="00E5220A">
        <w:rPr>
          <w:rFonts w:asciiTheme="minorHAnsi" w:hAnsiTheme="minorHAnsi" w:cstheme="minorHAnsi"/>
          <w:sz w:val="22"/>
          <w:szCs w:val="22"/>
          <w:u w:val="single"/>
        </w:rPr>
        <w:t xml:space="preserve">Example </w:t>
      </w:r>
      <w:r w:rsidR="00D713BC" w:rsidRPr="00E5220A">
        <w:rPr>
          <w:rFonts w:asciiTheme="minorHAnsi" w:hAnsiTheme="minorHAnsi" w:cstheme="minorHAnsi"/>
          <w:sz w:val="22"/>
          <w:szCs w:val="22"/>
          <w:u w:val="single"/>
        </w:rPr>
        <w:t>4</w:t>
      </w:r>
    </w:p>
    <w:p w14:paraId="5DE9007C" w14:textId="77777777" w:rsidR="00E5220A" w:rsidRDefault="00E5220A" w:rsidP="00696334">
      <w:pPr>
        <w:rPr>
          <w:rFonts w:asciiTheme="minorHAnsi" w:hAnsiTheme="minorHAnsi" w:cstheme="minorHAnsi"/>
          <w:sz w:val="22"/>
          <w:szCs w:val="22"/>
        </w:rPr>
      </w:pPr>
    </w:p>
    <w:p w14:paraId="7AAABFD1" w14:textId="69B580D9" w:rsidR="00271621" w:rsidRPr="000C1D9A" w:rsidRDefault="00271621" w:rsidP="00696334">
      <w:pPr>
        <w:rPr>
          <w:rFonts w:asciiTheme="minorHAnsi" w:hAnsiTheme="minorHAnsi" w:cstheme="minorHAnsi"/>
          <w:sz w:val="22"/>
          <w:szCs w:val="22"/>
        </w:rPr>
      </w:pPr>
      <w:r w:rsidRPr="000C1D9A">
        <w:rPr>
          <w:rFonts w:asciiTheme="minorHAnsi" w:hAnsiTheme="minorHAnsi" w:cstheme="minorHAnsi"/>
          <w:sz w:val="22"/>
          <w:szCs w:val="22"/>
        </w:rPr>
        <w:t xml:space="preserve">Disaster Relief Pty Ltd operates a social enterprise. It sells second hand textbooks and 100% of the profits are distributed to organisations working in the developing world. The funds are used to support humanitarian assistance programs following natural disasters. Disaster Relief Pty Ltd has developed a close working relationship with the organisations it supports. It has </w:t>
      </w:r>
      <w:r w:rsidR="008230F4" w:rsidRPr="000C1D9A">
        <w:rPr>
          <w:rFonts w:asciiTheme="minorHAnsi" w:hAnsiTheme="minorHAnsi" w:cstheme="minorHAnsi"/>
          <w:sz w:val="22"/>
          <w:szCs w:val="22"/>
        </w:rPr>
        <w:t>memorandums of understanding</w:t>
      </w:r>
      <w:r w:rsidRPr="000C1D9A">
        <w:rPr>
          <w:rFonts w:asciiTheme="minorHAnsi" w:hAnsiTheme="minorHAnsi" w:cstheme="minorHAnsi"/>
          <w:sz w:val="22"/>
          <w:szCs w:val="22"/>
        </w:rPr>
        <w:t xml:space="preserve"> with the organisations, is involved in planning programs and annually sends volunteers </w:t>
      </w:r>
      <w:r w:rsidR="00731229">
        <w:rPr>
          <w:rFonts w:asciiTheme="minorHAnsi" w:hAnsiTheme="minorHAnsi" w:cstheme="minorHAnsi"/>
          <w:sz w:val="22"/>
          <w:szCs w:val="22"/>
        </w:rPr>
        <w:t xml:space="preserve">for </w:t>
      </w:r>
      <w:r w:rsidRPr="000C1D9A">
        <w:rPr>
          <w:rFonts w:asciiTheme="minorHAnsi" w:hAnsiTheme="minorHAnsi" w:cstheme="minorHAnsi"/>
          <w:sz w:val="22"/>
          <w:szCs w:val="22"/>
        </w:rPr>
        <w:t>short term trips to assist with implement</w:t>
      </w:r>
      <w:r w:rsidR="00731229">
        <w:rPr>
          <w:rFonts w:asciiTheme="minorHAnsi" w:hAnsiTheme="minorHAnsi" w:cstheme="minorHAnsi"/>
          <w:sz w:val="22"/>
          <w:szCs w:val="22"/>
        </w:rPr>
        <w:t>ing</w:t>
      </w:r>
      <w:r w:rsidRPr="000C1D9A">
        <w:rPr>
          <w:rFonts w:asciiTheme="minorHAnsi" w:hAnsiTheme="minorHAnsi" w:cstheme="minorHAnsi"/>
          <w:sz w:val="22"/>
          <w:szCs w:val="22"/>
        </w:rPr>
        <w:t xml:space="preserve"> the programs. </w:t>
      </w:r>
    </w:p>
    <w:p w14:paraId="4D344CA2" w14:textId="77777777" w:rsidR="00E5220A" w:rsidRDefault="00E5220A" w:rsidP="00696334">
      <w:pPr>
        <w:rPr>
          <w:rFonts w:asciiTheme="minorHAnsi" w:hAnsiTheme="minorHAnsi" w:cstheme="minorHAnsi"/>
          <w:sz w:val="22"/>
          <w:szCs w:val="22"/>
        </w:rPr>
      </w:pPr>
    </w:p>
    <w:p w14:paraId="7033903F" w14:textId="28FD501C" w:rsidR="00271621" w:rsidRPr="00E5220A" w:rsidRDefault="00271621" w:rsidP="00696334">
      <w:pPr>
        <w:rPr>
          <w:rFonts w:asciiTheme="minorHAnsi" w:hAnsiTheme="minorHAnsi" w:cstheme="minorHAnsi"/>
          <w:i/>
          <w:iCs/>
          <w:sz w:val="22"/>
          <w:szCs w:val="22"/>
        </w:rPr>
      </w:pPr>
      <w:r w:rsidRPr="00E5220A">
        <w:rPr>
          <w:rFonts w:asciiTheme="minorHAnsi" w:hAnsiTheme="minorHAnsi" w:cstheme="minorHAnsi"/>
          <w:i/>
          <w:iCs/>
          <w:sz w:val="22"/>
          <w:szCs w:val="22"/>
        </w:rPr>
        <w:t xml:space="preserve">For the most part, Disaster Relief Pty Ltd is not directly engaged in providing benevolent relief.  </w:t>
      </w:r>
      <w:r w:rsidR="002850BA" w:rsidRPr="00E5220A">
        <w:rPr>
          <w:rFonts w:asciiTheme="minorHAnsi" w:hAnsiTheme="minorHAnsi" w:cstheme="minorHAnsi"/>
          <w:i/>
          <w:iCs/>
          <w:sz w:val="22"/>
          <w:szCs w:val="22"/>
        </w:rPr>
        <w:t>Nevertheless,</w:t>
      </w:r>
      <w:r w:rsidRPr="00E5220A">
        <w:rPr>
          <w:rFonts w:asciiTheme="minorHAnsi" w:hAnsiTheme="minorHAnsi" w:cstheme="minorHAnsi"/>
          <w:i/>
          <w:iCs/>
          <w:sz w:val="22"/>
          <w:szCs w:val="22"/>
        </w:rPr>
        <w:t xml:space="preserve"> it is likely to be a PBI because it </w:t>
      </w:r>
      <w:r w:rsidR="00187127" w:rsidRPr="00E5220A">
        <w:rPr>
          <w:rFonts w:asciiTheme="minorHAnsi" w:hAnsiTheme="minorHAnsi" w:cstheme="minorHAnsi"/>
          <w:i/>
          <w:iCs/>
          <w:sz w:val="22"/>
          <w:szCs w:val="22"/>
        </w:rPr>
        <w:t>can demonstrate a clear connection between its fundraising activities</w:t>
      </w:r>
      <w:r w:rsidR="00DA2F22" w:rsidRPr="00E5220A">
        <w:rPr>
          <w:rFonts w:asciiTheme="minorHAnsi" w:hAnsiTheme="minorHAnsi" w:cstheme="minorHAnsi"/>
          <w:i/>
          <w:iCs/>
          <w:sz w:val="22"/>
          <w:szCs w:val="22"/>
        </w:rPr>
        <w:t xml:space="preserve"> and the relief of distress</w:t>
      </w:r>
      <w:r w:rsidR="00E40037" w:rsidRPr="00E5220A">
        <w:rPr>
          <w:rFonts w:asciiTheme="minorHAnsi" w:hAnsiTheme="minorHAnsi" w:cstheme="minorHAnsi"/>
          <w:i/>
          <w:iCs/>
          <w:sz w:val="22"/>
          <w:szCs w:val="22"/>
        </w:rPr>
        <w:t>.</w:t>
      </w:r>
      <w:r w:rsidR="00A42F90">
        <w:rPr>
          <w:rFonts w:asciiTheme="minorHAnsi" w:hAnsiTheme="minorHAnsi" w:cstheme="minorHAnsi"/>
          <w:i/>
          <w:iCs/>
          <w:sz w:val="22"/>
          <w:szCs w:val="22"/>
        </w:rPr>
        <w:t xml:space="preserve"> </w:t>
      </w:r>
      <w:r w:rsidR="00B0589E">
        <w:rPr>
          <w:rFonts w:asciiTheme="minorHAnsi" w:hAnsiTheme="minorHAnsi" w:cstheme="minorHAnsi"/>
          <w:i/>
          <w:iCs/>
          <w:sz w:val="22"/>
          <w:szCs w:val="22"/>
        </w:rPr>
        <w:t>The</w:t>
      </w:r>
      <w:r w:rsidR="002605CF">
        <w:rPr>
          <w:rFonts w:asciiTheme="minorHAnsi" w:hAnsiTheme="minorHAnsi" w:cstheme="minorHAnsi"/>
          <w:i/>
          <w:iCs/>
          <w:sz w:val="22"/>
          <w:szCs w:val="22"/>
        </w:rPr>
        <w:t xml:space="preserve"> partner entity uses all funds </w:t>
      </w:r>
      <w:r w:rsidR="001A208B">
        <w:rPr>
          <w:rFonts w:asciiTheme="minorHAnsi" w:hAnsiTheme="minorHAnsi" w:cstheme="minorHAnsi"/>
          <w:i/>
          <w:iCs/>
          <w:sz w:val="22"/>
          <w:szCs w:val="22"/>
        </w:rPr>
        <w:t xml:space="preserve">Disaster Relief Pty Ltd </w:t>
      </w:r>
      <w:r w:rsidR="002605CF">
        <w:rPr>
          <w:rFonts w:asciiTheme="minorHAnsi" w:hAnsiTheme="minorHAnsi" w:cstheme="minorHAnsi"/>
          <w:i/>
          <w:iCs/>
          <w:sz w:val="22"/>
          <w:szCs w:val="22"/>
        </w:rPr>
        <w:t>raise</w:t>
      </w:r>
      <w:r w:rsidR="001A208B">
        <w:rPr>
          <w:rFonts w:asciiTheme="minorHAnsi" w:hAnsiTheme="minorHAnsi" w:cstheme="minorHAnsi"/>
          <w:i/>
          <w:iCs/>
          <w:sz w:val="22"/>
          <w:szCs w:val="22"/>
        </w:rPr>
        <w:t>s</w:t>
      </w:r>
      <w:r w:rsidR="002605CF">
        <w:rPr>
          <w:rFonts w:asciiTheme="minorHAnsi" w:hAnsiTheme="minorHAnsi" w:cstheme="minorHAnsi"/>
          <w:i/>
          <w:iCs/>
          <w:sz w:val="22"/>
          <w:szCs w:val="22"/>
        </w:rPr>
        <w:t xml:space="preserve"> to relieve distress.</w:t>
      </w:r>
      <w:r w:rsidRPr="00E5220A">
        <w:rPr>
          <w:rFonts w:asciiTheme="minorHAnsi" w:hAnsiTheme="minorHAnsi" w:cstheme="minorHAnsi"/>
          <w:i/>
          <w:iCs/>
          <w:sz w:val="22"/>
          <w:szCs w:val="22"/>
        </w:rPr>
        <w:t xml:space="preserve"> </w:t>
      </w:r>
      <w:r w:rsidR="0013123D">
        <w:rPr>
          <w:rFonts w:asciiTheme="minorHAnsi" w:hAnsiTheme="minorHAnsi" w:cstheme="minorHAnsi"/>
          <w:i/>
          <w:iCs/>
          <w:sz w:val="22"/>
          <w:szCs w:val="22"/>
        </w:rPr>
        <w:t xml:space="preserve">Refer to paragraphs 18 to 20 above for further detail. See also </w:t>
      </w:r>
      <w:r w:rsidR="0013123D" w:rsidRPr="0013123D">
        <w:rPr>
          <w:rFonts w:asciiTheme="minorHAnsi" w:hAnsiTheme="minorHAnsi" w:cstheme="minorHAnsi"/>
          <w:i/>
          <w:iCs/>
          <w:sz w:val="22"/>
          <w:szCs w:val="22"/>
        </w:rPr>
        <w:t>The Hunger Project Australia v Federal Commissioner of Taxation (2013) 94 ATR 855</w:t>
      </w:r>
      <w:r w:rsidR="0013123D">
        <w:rPr>
          <w:rFonts w:asciiTheme="minorHAnsi" w:hAnsiTheme="minorHAnsi" w:cstheme="minorHAnsi"/>
          <w:i/>
          <w:iCs/>
          <w:sz w:val="22"/>
          <w:szCs w:val="22"/>
        </w:rPr>
        <w:t>.</w:t>
      </w:r>
    </w:p>
    <w:p w14:paraId="61ADC2D3" w14:textId="77777777" w:rsidR="00E5220A" w:rsidRDefault="00E5220A" w:rsidP="00696334">
      <w:pPr>
        <w:rPr>
          <w:rFonts w:asciiTheme="minorHAnsi" w:hAnsiTheme="minorHAnsi" w:cstheme="minorHAnsi"/>
          <w:sz w:val="22"/>
          <w:szCs w:val="22"/>
        </w:rPr>
      </w:pPr>
    </w:p>
    <w:p w14:paraId="5C99316A" w14:textId="4EC47448" w:rsidR="00271621" w:rsidRPr="00E5220A" w:rsidRDefault="00271621" w:rsidP="00696334">
      <w:pPr>
        <w:rPr>
          <w:rFonts w:asciiTheme="minorHAnsi" w:hAnsiTheme="minorHAnsi" w:cstheme="minorHAnsi"/>
          <w:sz w:val="22"/>
          <w:szCs w:val="22"/>
          <w:u w:val="single"/>
        </w:rPr>
      </w:pPr>
      <w:r w:rsidRPr="00E5220A">
        <w:rPr>
          <w:rFonts w:asciiTheme="minorHAnsi" w:hAnsiTheme="minorHAnsi" w:cstheme="minorHAnsi"/>
          <w:sz w:val="22"/>
          <w:szCs w:val="22"/>
          <w:u w:val="single"/>
        </w:rPr>
        <w:t xml:space="preserve">Example </w:t>
      </w:r>
      <w:r w:rsidR="00D713BC" w:rsidRPr="00E5220A">
        <w:rPr>
          <w:rFonts w:asciiTheme="minorHAnsi" w:hAnsiTheme="minorHAnsi" w:cstheme="minorHAnsi"/>
          <w:sz w:val="22"/>
          <w:szCs w:val="22"/>
          <w:u w:val="single"/>
        </w:rPr>
        <w:t>5</w:t>
      </w:r>
    </w:p>
    <w:p w14:paraId="68B2226B" w14:textId="77777777" w:rsidR="00E5220A" w:rsidRDefault="00E5220A" w:rsidP="00696334">
      <w:pPr>
        <w:rPr>
          <w:rFonts w:asciiTheme="minorHAnsi" w:hAnsiTheme="minorHAnsi" w:cstheme="minorHAnsi"/>
          <w:sz w:val="22"/>
          <w:szCs w:val="22"/>
        </w:rPr>
      </w:pPr>
    </w:p>
    <w:p w14:paraId="7C099974" w14:textId="73D45E63" w:rsidR="00271621" w:rsidRPr="000C1D9A" w:rsidRDefault="00271621" w:rsidP="00696334">
      <w:pPr>
        <w:rPr>
          <w:rFonts w:asciiTheme="minorHAnsi" w:hAnsiTheme="minorHAnsi" w:cstheme="minorHAnsi"/>
          <w:sz w:val="22"/>
          <w:szCs w:val="22"/>
        </w:rPr>
      </w:pPr>
      <w:r w:rsidRPr="000C1D9A">
        <w:rPr>
          <w:rFonts w:asciiTheme="minorHAnsi" w:hAnsiTheme="minorHAnsi" w:cstheme="minorHAnsi"/>
          <w:sz w:val="22"/>
          <w:szCs w:val="22"/>
        </w:rPr>
        <w:t xml:space="preserve">Gifts of Compassion Ltd was founded by a philanthropist. After she retired, she transferred a range of personal investment assets to the </w:t>
      </w:r>
      <w:r w:rsidR="00725812">
        <w:rPr>
          <w:rFonts w:asciiTheme="minorHAnsi" w:hAnsiTheme="minorHAnsi" w:cstheme="minorHAnsi"/>
          <w:sz w:val="22"/>
          <w:szCs w:val="22"/>
        </w:rPr>
        <w:t>charity</w:t>
      </w:r>
      <w:r w:rsidR="00725812" w:rsidRPr="000C1D9A">
        <w:rPr>
          <w:rFonts w:asciiTheme="minorHAnsi" w:hAnsiTheme="minorHAnsi" w:cstheme="minorHAnsi"/>
          <w:sz w:val="22"/>
          <w:szCs w:val="22"/>
        </w:rPr>
        <w:t xml:space="preserve"> </w:t>
      </w:r>
      <w:r w:rsidRPr="000C1D9A">
        <w:rPr>
          <w:rFonts w:asciiTheme="minorHAnsi" w:hAnsiTheme="minorHAnsi" w:cstheme="minorHAnsi"/>
          <w:sz w:val="22"/>
          <w:szCs w:val="22"/>
        </w:rPr>
        <w:t xml:space="preserve">and appointed a </w:t>
      </w:r>
      <w:r w:rsidR="003A218A">
        <w:rPr>
          <w:rFonts w:asciiTheme="minorHAnsi" w:hAnsiTheme="minorHAnsi" w:cstheme="minorHAnsi"/>
          <w:sz w:val="22"/>
          <w:szCs w:val="22"/>
        </w:rPr>
        <w:t>b</w:t>
      </w:r>
      <w:r w:rsidRPr="000C1D9A">
        <w:rPr>
          <w:rFonts w:asciiTheme="minorHAnsi" w:hAnsiTheme="minorHAnsi" w:cstheme="minorHAnsi"/>
          <w:sz w:val="22"/>
          <w:szCs w:val="22"/>
        </w:rPr>
        <w:t xml:space="preserve">oard of </w:t>
      </w:r>
      <w:r w:rsidR="003A218A">
        <w:rPr>
          <w:rFonts w:asciiTheme="minorHAnsi" w:hAnsiTheme="minorHAnsi" w:cstheme="minorHAnsi"/>
          <w:sz w:val="22"/>
          <w:szCs w:val="22"/>
        </w:rPr>
        <w:t>d</w:t>
      </w:r>
      <w:r w:rsidRPr="000C1D9A">
        <w:rPr>
          <w:rFonts w:asciiTheme="minorHAnsi" w:hAnsiTheme="minorHAnsi" w:cstheme="minorHAnsi"/>
          <w:sz w:val="22"/>
          <w:szCs w:val="22"/>
        </w:rPr>
        <w:t xml:space="preserve">irectors. The </w:t>
      </w:r>
      <w:r w:rsidR="003A218A">
        <w:rPr>
          <w:rFonts w:asciiTheme="minorHAnsi" w:hAnsiTheme="minorHAnsi" w:cstheme="minorHAnsi"/>
          <w:sz w:val="22"/>
          <w:szCs w:val="22"/>
        </w:rPr>
        <w:t>b</w:t>
      </w:r>
      <w:r w:rsidRPr="000C1D9A">
        <w:rPr>
          <w:rFonts w:asciiTheme="minorHAnsi" w:hAnsiTheme="minorHAnsi" w:cstheme="minorHAnsi"/>
          <w:sz w:val="22"/>
          <w:szCs w:val="22"/>
        </w:rPr>
        <w:t>oard developed an investment strategy</w:t>
      </w:r>
      <w:r w:rsidR="00CA0444">
        <w:rPr>
          <w:rFonts w:asciiTheme="minorHAnsi" w:hAnsiTheme="minorHAnsi" w:cstheme="minorHAnsi"/>
          <w:sz w:val="22"/>
          <w:szCs w:val="22"/>
        </w:rPr>
        <w:t xml:space="preserve"> for the charity</w:t>
      </w:r>
      <w:r w:rsidRPr="000C1D9A">
        <w:rPr>
          <w:rFonts w:asciiTheme="minorHAnsi" w:hAnsiTheme="minorHAnsi" w:cstheme="minorHAnsi"/>
          <w:sz w:val="22"/>
          <w:szCs w:val="22"/>
        </w:rPr>
        <w:t xml:space="preserve"> and each year </w:t>
      </w:r>
      <w:r w:rsidR="00CA0444">
        <w:rPr>
          <w:rFonts w:asciiTheme="minorHAnsi" w:hAnsiTheme="minorHAnsi" w:cstheme="minorHAnsi"/>
          <w:sz w:val="22"/>
          <w:szCs w:val="22"/>
        </w:rPr>
        <w:t xml:space="preserve">it </w:t>
      </w:r>
      <w:r w:rsidRPr="000C1D9A">
        <w:rPr>
          <w:rFonts w:asciiTheme="minorHAnsi" w:hAnsiTheme="minorHAnsi" w:cstheme="minorHAnsi"/>
          <w:sz w:val="22"/>
          <w:szCs w:val="22"/>
        </w:rPr>
        <w:t>ma</w:t>
      </w:r>
      <w:r w:rsidR="006850EC">
        <w:rPr>
          <w:rFonts w:asciiTheme="minorHAnsi" w:hAnsiTheme="minorHAnsi" w:cstheme="minorHAnsi"/>
          <w:sz w:val="22"/>
          <w:szCs w:val="22"/>
        </w:rPr>
        <w:t>kes</w:t>
      </w:r>
      <w:r w:rsidRPr="000C1D9A">
        <w:rPr>
          <w:rFonts w:asciiTheme="minorHAnsi" w:hAnsiTheme="minorHAnsi" w:cstheme="minorHAnsi"/>
          <w:sz w:val="22"/>
          <w:szCs w:val="22"/>
        </w:rPr>
        <w:t xml:space="preserve"> distributions to various disability services organisations. The personal and social interactions of the </w:t>
      </w:r>
      <w:r w:rsidR="00CA0444">
        <w:rPr>
          <w:rFonts w:asciiTheme="minorHAnsi" w:hAnsiTheme="minorHAnsi" w:cstheme="minorHAnsi"/>
          <w:sz w:val="22"/>
          <w:szCs w:val="22"/>
        </w:rPr>
        <w:t>b</w:t>
      </w:r>
      <w:r w:rsidRPr="000C1D9A">
        <w:rPr>
          <w:rFonts w:asciiTheme="minorHAnsi" w:hAnsiTheme="minorHAnsi" w:cstheme="minorHAnsi"/>
          <w:sz w:val="22"/>
          <w:szCs w:val="22"/>
        </w:rPr>
        <w:t xml:space="preserve">oard members help the </w:t>
      </w:r>
      <w:r w:rsidR="00CA0444">
        <w:rPr>
          <w:rFonts w:asciiTheme="minorHAnsi" w:hAnsiTheme="minorHAnsi" w:cstheme="minorHAnsi"/>
          <w:sz w:val="22"/>
          <w:szCs w:val="22"/>
        </w:rPr>
        <w:t>b</w:t>
      </w:r>
      <w:r w:rsidRPr="000C1D9A">
        <w:rPr>
          <w:rFonts w:asciiTheme="minorHAnsi" w:hAnsiTheme="minorHAnsi" w:cstheme="minorHAnsi"/>
          <w:sz w:val="22"/>
          <w:szCs w:val="22"/>
        </w:rPr>
        <w:t>oard</w:t>
      </w:r>
      <w:r w:rsidR="00C9734E">
        <w:rPr>
          <w:rFonts w:asciiTheme="minorHAnsi" w:hAnsiTheme="minorHAnsi" w:cstheme="minorHAnsi"/>
          <w:sz w:val="22"/>
          <w:szCs w:val="22"/>
        </w:rPr>
        <w:t xml:space="preserve"> to</w:t>
      </w:r>
      <w:r w:rsidRPr="000C1D9A">
        <w:rPr>
          <w:rFonts w:asciiTheme="minorHAnsi" w:hAnsiTheme="minorHAnsi" w:cstheme="minorHAnsi"/>
          <w:sz w:val="22"/>
          <w:szCs w:val="22"/>
        </w:rPr>
        <w:t xml:space="preserve"> </w:t>
      </w:r>
      <w:r w:rsidR="00F90A26">
        <w:rPr>
          <w:rFonts w:asciiTheme="minorHAnsi" w:hAnsiTheme="minorHAnsi" w:cstheme="minorHAnsi"/>
          <w:sz w:val="22"/>
          <w:szCs w:val="22"/>
        </w:rPr>
        <w:t>decide</w:t>
      </w:r>
      <w:r w:rsidR="00F90A26" w:rsidRPr="000C1D9A">
        <w:rPr>
          <w:rFonts w:asciiTheme="minorHAnsi" w:hAnsiTheme="minorHAnsi" w:cstheme="minorHAnsi"/>
          <w:sz w:val="22"/>
          <w:szCs w:val="22"/>
        </w:rPr>
        <w:t xml:space="preserve"> </w:t>
      </w:r>
      <w:r w:rsidR="00EC0510">
        <w:rPr>
          <w:rFonts w:asciiTheme="minorHAnsi" w:hAnsiTheme="minorHAnsi" w:cstheme="minorHAnsi"/>
          <w:sz w:val="22"/>
          <w:szCs w:val="22"/>
        </w:rPr>
        <w:t xml:space="preserve">the </w:t>
      </w:r>
      <w:r w:rsidRPr="000C1D9A">
        <w:rPr>
          <w:rFonts w:asciiTheme="minorHAnsi" w:hAnsiTheme="minorHAnsi" w:cstheme="minorHAnsi"/>
          <w:sz w:val="22"/>
          <w:szCs w:val="22"/>
        </w:rPr>
        <w:t xml:space="preserve">programs that Gifts of Compassion Ltd supports. </w:t>
      </w:r>
    </w:p>
    <w:p w14:paraId="572DF57D" w14:textId="77777777" w:rsidR="00E5220A" w:rsidRDefault="00E5220A" w:rsidP="00696334">
      <w:pPr>
        <w:rPr>
          <w:rFonts w:asciiTheme="minorHAnsi" w:hAnsiTheme="minorHAnsi" w:cstheme="minorHAnsi"/>
          <w:sz w:val="22"/>
          <w:szCs w:val="22"/>
        </w:rPr>
      </w:pPr>
    </w:p>
    <w:p w14:paraId="1750F134" w14:textId="5E54B6EF" w:rsidR="00271621" w:rsidRPr="00E5220A" w:rsidRDefault="00271621" w:rsidP="00696334">
      <w:pPr>
        <w:rPr>
          <w:rFonts w:asciiTheme="minorHAnsi" w:hAnsiTheme="minorHAnsi" w:cstheme="minorHAnsi"/>
          <w:i/>
          <w:iCs/>
          <w:sz w:val="22"/>
          <w:szCs w:val="22"/>
        </w:rPr>
      </w:pPr>
      <w:r w:rsidRPr="00E5220A">
        <w:rPr>
          <w:rFonts w:asciiTheme="minorHAnsi" w:hAnsiTheme="minorHAnsi" w:cstheme="minorHAnsi"/>
          <w:i/>
          <w:iCs/>
          <w:sz w:val="22"/>
          <w:szCs w:val="22"/>
        </w:rPr>
        <w:t xml:space="preserve">Gifts of Compassion Ltd is unlikely to be a PBI because it is not an institution.  It is a mere “fund” that manages trust property </w:t>
      </w:r>
      <w:r w:rsidR="00EC0510">
        <w:rPr>
          <w:rFonts w:asciiTheme="minorHAnsi" w:hAnsiTheme="minorHAnsi" w:cstheme="minorHAnsi"/>
          <w:i/>
          <w:iCs/>
          <w:sz w:val="22"/>
          <w:szCs w:val="22"/>
        </w:rPr>
        <w:t>that</w:t>
      </w:r>
      <w:r w:rsidR="00EC0510" w:rsidRPr="00E5220A">
        <w:rPr>
          <w:rFonts w:asciiTheme="minorHAnsi" w:hAnsiTheme="minorHAnsi" w:cstheme="minorHAnsi"/>
          <w:i/>
          <w:iCs/>
          <w:sz w:val="22"/>
          <w:szCs w:val="22"/>
        </w:rPr>
        <w:t xml:space="preserve"> </w:t>
      </w:r>
      <w:r w:rsidRPr="00E5220A">
        <w:rPr>
          <w:rFonts w:asciiTheme="minorHAnsi" w:hAnsiTheme="minorHAnsi" w:cstheme="minorHAnsi"/>
          <w:i/>
          <w:iCs/>
          <w:sz w:val="22"/>
          <w:szCs w:val="22"/>
        </w:rPr>
        <w:t xml:space="preserve">is applied for a charitable purpose.  Refer to paragraph </w:t>
      </w:r>
      <w:r w:rsidR="00CA19BB">
        <w:rPr>
          <w:rFonts w:asciiTheme="minorHAnsi" w:hAnsiTheme="minorHAnsi" w:cstheme="minorHAnsi"/>
          <w:i/>
          <w:iCs/>
          <w:sz w:val="22"/>
          <w:szCs w:val="22"/>
        </w:rPr>
        <w:t>52</w:t>
      </w:r>
      <w:r w:rsidRPr="00E5220A">
        <w:rPr>
          <w:rFonts w:asciiTheme="minorHAnsi" w:hAnsiTheme="minorHAnsi" w:cstheme="minorHAnsi"/>
          <w:i/>
          <w:iCs/>
          <w:sz w:val="22"/>
          <w:szCs w:val="22"/>
        </w:rPr>
        <w:t xml:space="preserve"> above for more detail. </w:t>
      </w:r>
      <w:r w:rsidR="00E03C87">
        <w:rPr>
          <w:rFonts w:asciiTheme="minorHAnsi" w:hAnsiTheme="minorHAnsi" w:cstheme="minorHAnsi"/>
          <w:i/>
          <w:iCs/>
          <w:sz w:val="22"/>
          <w:szCs w:val="22"/>
        </w:rPr>
        <w:t>S</w:t>
      </w:r>
      <w:r w:rsidR="00CA19BB">
        <w:rPr>
          <w:rFonts w:asciiTheme="minorHAnsi" w:hAnsiTheme="minorHAnsi" w:cstheme="minorHAnsi"/>
          <w:i/>
          <w:iCs/>
          <w:sz w:val="22"/>
          <w:szCs w:val="22"/>
        </w:rPr>
        <w:t xml:space="preserve">ee also </w:t>
      </w:r>
      <w:r w:rsidR="00C06658" w:rsidRPr="00C06658">
        <w:rPr>
          <w:rFonts w:asciiTheme="minorHAnsi" w:hAnsiTheme="minorHAnsi" w:cstheme="minorHAnsi"/>
          <w:i/>
          <w:iCs/>
          <w:sz w:val="22"/>
          <w:szCs w:val="22"/>
        </w:rPr>
        <w:t>Trustees of the Indigenous Barristers’ Trust v Federal Commissioner of Taxation (2002) 127 FCR 63</w:t>
      </w:r>
      <w:r w:rsidR="00C06658">
        <w:rPr>
          <w:rFonts w:asciiTheme="minorHAnsi" w:hAnsiTheme="minorHAnsi" w:cstheme="minorHAnsi"/>
          <w:i/>
          <w:iCs/>
          <w:sz w:val="22"/>
          <w:szCs w:val="22"/>
        </w:rPr>
        <w:t xml:space="preserve"> and</w:t>
      </w:r>
      <w:r w:rsidR="0013123D">
        <w:rPr>
          <w:rFonts w:asciiTheme="minorHAnsi" w:hAnsiTheme="minorHAnsi" w:cstheme="minorHAnsi"/>
          <w:i/>
          <w:iCs/>
          <w:sz w:val="22"/>
          <w:szCs w:val="22"/>
        </w:rPr>
        <w:t xml:space="preserve"> </w:t>
      </w:r>
      <w:r w:rsidR="0013123D" w:rsidRPr="0013123D">
        <w:rPr>
          <w:rFonts w:asciiTheme="minorHAnsi" w:hAnsiTheme="minorHAnsi" w:cstheme="minorHAnsi"/>
          <w:i/>
          <w:iCs/>
          <w:sz w:val="22"/>
          <w:szCs w:val="22"/>
        </w:rPr>
        <w:t>Trustees of the Allport Bequest v Federal Commissioner of Taxation (1988) 19 ATR 1335</w:t>
      </w:r>
      <w:r w:rsidR="0013123D">
        <w:rPr>
          <w:rFonts w:asciiTheme="minorHAnsi" w:hAnsiTheme="minorHAnsi" w:cstheme="minorHAnsi"/>
          <w:i/>
          <w:iCs/>
          <w:sz w:val="22"/>
          <w:szCs w:val="22"/>
        </w:rPr>
        <w:t>.</w:t>
      </w:r>
    </w:p>
    <w:p w14:paraId="54B1C3BF" w14:textId="77777777" w:rsidR="00E5220A" w:rsidRDefault="00E5220A" w:rsidP="00696334">
      <w:pPr>
        <w:rPr>
          <w:rFonts w:asciiTheme="minorHAnsi" w:hAnsiTheme="minorHAnsi" w:cstheme="minorHAnsi"/>
          <w:sz w:val="22"/>
          <w:szCs w:val="22"/>
        </w:rPr>
      </w:pPr>
    </w:p>
    <w:p w14:paraId="34A4FA84" w14:textId="3EFFB545" w:rsidR="00271621" w:rsidRPr="00E5220A" w:rsidRDefault="00271621" w:rsidP="00696334">
      <w:pPr>
        <w:rPr>
          <w:rFonts w:asciiTheme="minorHAnsi" w:hAnsiTheme="minorHAnsi" w:cstheme="minorHAnsi"/>
          <w:sz w:val="22"/>
          <w:szCs w:val="22"/>
          <w:u w:val="single"/>
        </w:rPr>
      </w:pPr>
      <w:r w:rsidRPr="00E5220A">
        <w:rPr>
          <w:rFonts w:asciiTheme="minorHAnsi" w:hAnsiTheme="minorHAnsi" w:cstheme="minorHAnsi"/>
          <w:sz w:val="22"/>
          <w:szCs w:val="22"/>
          <w:u w:val="single"/>
        </w:rPr>
        <w:t xml:space="preserve">Example </w:t>
      </w:r>
      <w:r w:rsidR="0053749B">
        <w:rPr>
          <w:rFonts w:asciiTheme="minorHAnsi" w:hAnsiTheme="minorHAnsi" w:cstheme="minorHAnsi"/>
          <w:sz w:val="22"/>
          <w:szCs w:val="22"/>
          <w:u w:val="single"/>
        </w:rPr>
        <w:t>6</w:t>
      </w:r>
    </w:p>
    <w:p w14:paraId="28205D21" w14:textId="77777777" w:rsidR="00E5220A" w:rsidRPr="000C1D9A" w:rsidRDefault="00E5220A" w:rsidP="00696334">
      <w:pPr>
        <w:rPr>
          <w:rFonts w:asciiTheme="minorHAnsi" w:hAnsiTheme="minorHAnsi" w:cstheme="minorHAnsi"/>
          <w:sz w:val="22"/>
          <w:szCs w:val="22"/>
        </w:rPr>
      </w:pPr>
    </w:p>
    <w:p w14:paraId="382B6628" w14:textId="43A26BFD" w:rsidR="00271621" w:rsidRPr="000C1D9A" w:rsidRDefault="00271621" w:rsidP="00696334">
      <w:pPr>
        <w:rPr>
          <w:rFonts w:asciiTheme="minorHAnsi" w:hAnsiTheme="minorHAnsi" w:cstheme="minorHAnsi"/>
          <w:sz w:val="22"/>
          <w:szCs w:val="22"/>
        </w:rPr>
      </w:pPr>
      <w:r w:rsidRPr="000C1D9A">
        <w:rPr>
          <w:rFonts w:asciiTheme="minorHAnsi" w:hAnsiTheme="minorHAnsi" w:cstheme="minorHAnsi"/>
          <w:sz w:val="22"/>
          <w:szCs w:val="22"/>
        </w:rPr>
        <w:t xml:space="preserve">Affordable Housing for All Ltd is currently </w:t>
      </w:r>
      <w:r w:rsidR="006A40B7" w:rsidRPr="000C1D9A">
        <w:rPr>
          <w:rFonts w:asciiTheme="minorHAnsi" w:hAnsiTheme="minorHAnsi" w:cstheme="minorHAnsi"/>
          <w:sz w:val="22"/>
          <w:szCs w:val="22"/>
        </w:rPr>
        <w:t xml:space="preserve">registered </w:t>
      </w:r>
      <w:r w:rsidR="00EC0510">
        <w:rPr>
          <w:rFonts w:asciiTheme="minorHAnsi" w:hAnsiTheme="minorHAnsi" w:cstheme="minorHAnsi"/>
          <w:sz w:val="22"/>
          <w:szCs w:val="22"/>
        </w:rPr>
        <w:t>as a</w:t>
      </w:r>
      <w:r w:rsidR="006A40B7" w:rsidRPr="000C1D9A">
        <w:rPr>
          <w:rFonts w:asciiTheme="minorHAnsi" w:hAnsiTheme="minorHAnsi" w:cstheme="minorHAnsi"/>
          <w:sz w:val="22"/>
          <w:szCs w:val="22"/>
        </w:rPr>
        <w:t xml:space="preserve"> PBI</w:t>
      </w:r>
      <w:r w:rsidR="00F02DB3">
        <w:rPr>
          <w:rFonts w:asciiTheme="minorHAnsi" w:hAnsiTheme="minorHAnsi" w:cstheme="minorHAnsi"/>
          <w:sz w:val="22"/>
          <w:szCs w:val="22"/>
        </w:rPr>
        <w:t>.</w:t>
      </w:r>
      <w:r w:rsidR="006A40B7" w:rsidRPr="000C1D9A">
        <w:rPr>
          <w:rFonts w:asciiTheme="minorHAnsi" w:hAnsiTheme="minorHAnsi" w:cstheme="minorHAnsi"/>
          <w:sz w:val="22"/>
          <w:szCs w:val="22"/>
        </w:rPr>
        <w:t xml:space="preserve"> </w:t>
      </w:r>
      <w:r w:rsidR="00BE631B">
        <w:rPr>
          <w:rFonts w:asciiTheme="minorHAnsi" w:hAnsiTheme="minorHAnsi" w:cstheme="minorHAnsi"/>
          <w:sz w:val="22"/>
          <w:szCs w:val="22"/>
        </w:rPr>
        <w:t>I</w:t>
      </w:r>
      <w:r w:rsidRPr="000C1D9A">
        <w:rPr>
          <w:rFonts w:asciiTheme="minorHAnsi" w:hAnsiTheme="minorHAnsi" w:cstheme="minorHAnsi"/>
          <w:sz w:val="22"/>
          <w:szCs w:val="22"/>
        </w:rPr>
        <w:t>ts purpose is to provide housing to people in need. It currently manages a community housing program for low</w:t>
      </w:r>
      <w:r w:rsidR="006A40B7" w:rsidRPr="000C1D9A">
        <w:rPr>
          <w:rFonts w:asciiTheme="minorHAnsi" w:hAnsiTheme="minorHAnsi" w:cstheme="minorHAnsi"/>
          <w:sz w:val="22"/>
          <w:szCs w:val="22"/>
        </w:rPr>
        <w:t>-</w:t>
      </w:r>
      <w:r w:rsidRPr="000C1D9A">
        <w:rPr>
          <w:rFonts w:asciiTheme="minorHAnsi" w:hAnsiTheme="minorHAnsi" w:cstheme="minorHAnsi"/>
          <w:sz w:val="22"/>
          <w:szCs w:val="22"/>
        </w:rPr>
        <w:t xml:space="preserve">income </w:t>
      </w:r>
      <w:r w:rsidR="006A40B7" w:rsidRPr="000C1D9A">
        <w:rPr>
          <w:rFonts w:asciiTheme="minorHAnsi" w:hAnsiTheme="minorHAnsi" w:cstheme="minorHAnsi"/>
          <w:sz w:val="22"/>
          <w:szCs w:val="22"/>
        </w:rPr>
        <w:t>families</w:t>
      </w:r>
      <w:r w:rsidRPr="000C1D9A">
        <w:rPr>
          <w:rFonts w:asciiTheme="minorHAnsi" w:hAnsiTheme="minorHAnsi" w:cstheme="minorHAnsi"/>
          <w:sz w:val="22"/>
          <w:szCs w:val="22"/>
        </w:rPr>
        <w:t>.</w:t>
      </w:r>
    </w:p>
    <w:p w14:paraId="5CA98844" w14:textId="77777777" w:rsidR="00E5220A" w:rsidRDefault="00E5220A" w:rsidP="00696334">
      <w:pPr>
        <w:rPr>
          <w:rFonts w:asciiTheme="minorHAnsi" w:hAnsiTheme="minorHAnsi" w:cstheme="minorHAnsi"/>
          <w:sz w:val="22"/>
          <w:szCs w:val="22"/>
        </w:rPr>
      </w:pPr>
    </w:p>
    <w:p w14:paraId="73FADBF4" w14:textId="1ED88041" w:rsidR="00271621" w:rsidRPr="000C1D9A" w:rsidRDefault="00271621" w:rsidP="00696334">
      <w:pPr>
        <w:rPr>
          <w:rFonts w:asciiTheme="minorHAnsi" w:hAnsiTheme="minorHAnsi" w:cstheme="minorHAnsi"/>
          <w:sz w:val="22"/>
          <w:szCs w:val="22"/>
        </w:rPr>
      </w:pPr>
      <w:r w:rsidRPr="000C1D9A">
        <w:rPr>
          <w:rFonts w:asciiTheme="minorHAnsi" w:hAnsiTheme="minorHAnsi" w:cstheme="minorHAnsi"/>
          <w:sz w:val="22"/>
          <w:szCs w:val="22"/>
        </w:rPr>
        <w:t xml:space="preserve">The </w:t>
      </w:r>
      <w:r w:rsidR="00BE631B">
        <w:rPr>
          <w:rFonts w:asciiTheme="minorHAnsi" w:hAnsiTheme="minorHAnsi" w:cstheme="minorHAnsi"/>
          <w:sz w:val="22"/>
          <w:szCs w:val="22"/>
        </w:rPr>
        <w:t>b</w:t>
      </w:r>
      <w:r w:rsidRPr="000C1D9A">
        <w:rPr>
          <w:rFonts w:asciiTheme="minorHAnsi" w:hAnsiTheme="minorHAnsi" w:cstheme="minorHAnsi"/>
          <w:sz w:val="22"/>
          <w:szCs w:val="22"/>
        </w:rPr>
        <w:t xml:space="preserve">oard of the </w:t>
      </w:r>
      <w:r w:rsidR="009D3F49" w:rsidRPr="000C1D9A">
        <w:rPr>
          <w:rFonts w:asciiTheme="minorHAnsi" w:hAnsiTheme="minorHAnsi" w:cstheme="minorHAnsi"/>
          <w:sz w:val="22"/>
          <w:szCs w:val="22"/>
        </w:rPr>
        <w:t>charity</w:t>
      </w:r>
      <w:r w:rsidRPr="000C1D9A">
        <w:rPr>
          <w:rFonts w:asciiTheme="minorHAnsi" w:hAnsiTheme="minorHAnsi" w:cstheme="minorHAnsi"/>
          <w:sz w:val="22"/>
          <w:szCs w:val="22"/>
        </w:rPr>
        <w:t xml:space="preserve"> </w:t>
      </w:r>
      <w:r w:rsidR="00BE631B">
        <w:rPr>
          <w:rFonts w:asciiTheme="minorHAnsi" w:hAnsiTheme="minorHAnsi" w:cstheme="minorHAnsi"/>
          <w:sz w:val="22"/>
          <w:szCs w:val="22"/>
        </w:rPr>
        <w:t>was</w:t>
      </w:r>
      <w:r w:rsidRPr="000C1D9A">
        <w:rPr>
          <w:rFonts w:asciiTheme="minorHAnsi" w:hAnsiTheme="minorHAnsi" w:cstheme="minorHAnsi"/>
          <w:sz w:val="22"/>
          <w:szCs w:val="22"/>
        </w:rPr>
        <w:t xml:space="preserve"> approached to consider </w:t>
      </w:r>
      <w:r w:rsidR="001E3013">
        <w:rPr>
          <w:rFonts w:asciiTheme="minorHAnsi" w:hAnsiTheme="minorHAnsi" w:cstheme="minorHAnsi"/>
          <w:sz w:val="22"/>
          <w:szCs w:val="22"/>
        </w:rPr>
        <w:t xml:space="preserve">becoming a </w:t>
      </w:r>
      <w:r w:rsidRPr="000C1D9A">
        <w:rPr>
          <w:rFonts w:asciiTheme="minorHAnsi" w:hAnsiTheme="minorHAnsi" w:cstheme="minorHAnsi"/>
          <w:sz w:val="22"/>
          <w:szCs w:val="22"/>
        </w:rPr>
        <w:t xml:space="preserve">partner in a new fundraising venture. At participating cafés on Fridays, </w:t>
      </w:r>
      <w:r w:rsidR="001E3013">
        <w:rPr>
          <w:rFonts w:asciiTheme="minorHAnsi" w:hAnsiTheme="minorHAnsi" w:cstheme="minorHAnsi"/>
          <w:sz w:val="22"/>
          <w:szCs w:val="22"/>
        </w:rPr>
        <w:t>people</w:t>
      </w:r>
      <w:r w:rsidR="001E3013" w:rsidRPr="000C1D9A">
        <w:rPr>
          <w:rFonts w:asciiTheme="minorHAnsi" w:hAnsiTheme="minorHAnsi" w:cstheme="minorHAnsi"/>
          <w:sz w:val="22"/>
          <w:szCs w:val="22"/>
        </w:rPr>
        <w:t xml:space="preserve"> </w:t>
      </w:r>
      <w:r w:rsidR="009D3F49" w:rsidRPr="000C1D9A">
        <w:rPr>
          <w:rFonts w:asciiTheme="minorHAnsi" w:hAnsiTheme="minorHAnsi" w:cstheme="minorHAnsi"/>
          <w:sz w:val="22"/>
          <w:szCs w:val="22"/>
        </w:rPr>
        <w:t xml:space="preserve">who buy a certain </w:t>
      </w:r>
      <w:r w:rsidR="00877DC6" w:rsidRPr="000C1D9A">
        <w:rPr>
          <w:rFonts w:asciiTheme="minorHAnsi" w:hAnsiTheme="minorHAnsi" w:cstheme="minorHAnsi"/>
          <w:sz w:val="22"/>
          <w:szCs w:val="22"/>
        </w:rPr>
        <w:t xml:space="preserve">brand </w:t>
      </w:r>
      <w:r w:rsidR="009D3F49" w:rsidRPr="000C1D9A">
        <w:rPr>
          <w:rFonts w:asciiTheme="minorHAnsi" w:hAnsiTheme="minorHAnsi" w:cstheme="minorHAnsi"/>
          <w:sz w:val="22"/>
          <w:szCs w:val="22"/>
        </w:rPr>
        <w:t xml:space="preserve">of coffee </w:t>
      </w:r>
      <w:r w:rsidRPr="000C1D9A">
        <w:rPr>
          <w:rFonts w:asciiTheme="minorHAnsi" w:hAnsiTheme="minorHAnsi" w:cstheme="minorHAnsi"/>
          <w:sz w:val="22"/>
          <w:szCs w:val="22"/>
        </w:rPr>
        <w:t xml:space="preserve">will be asked to donate an </w:t>
      </w:r>
      <w:r w:rsidRPr="000C1D9A">
        <w:rPr>
          <w:rFonts w:asciiTheme="minorHAnsi" w:hAnsiTheme="minorHAnsi" w:cstheme="minorHAnsi"/>
          <w:sz w:val="22"/>
          <w:szCs w:val="22"/>
        </w:rPr>
        <w:lastRenderedPageBreak/>
        <w:t>additional dollar</w:t>
      </w:r>
      <w:r w:rsidR="00B1787D" w:rsidRPr="000C1D9A">
        <w:rPr>
          <w:rFonts w:asciiTheme="minorHAnsi" w:hAnsiTheme="minorHAnsi" w:cstheme="minorHAnsi"/>
          <w:sz w:val="22"/>
          <w:szCs w:val="22"/>
        </w:rPr>
        <w:t>,</w:t>
      </w:r>
      <w:r w:rsidR="000C570E" w:rsidRPr="000C1D9A">
        <w:rPr>
          <w:rFonts w:asciiTheme="minorHAnsi" w:hAnsiTheme="minorHAnsi" w:cstheme="minorHAnsi"/>
          <w:sz w:val="22"/>
          <w:szCs w:val="22"/>
        </w:rPr>
        <w:t xml:space="preserve"> with all donations to</w:t>
      </w:r>
      <w:r w:rsidR="00B1787D" w:rsidRPr="000C1D9A">
        <w:rPr>
          <w:rFonts w:asciiTheme="minorHAnsi" w:hAnsiTheme="minorHAnsi" w:cstheme="minorHAnsi"/>
          <w:sz w:val="22"/>
          <w:szCs w:val="22"/>
        </w:rPr>
        <w:t xml:space="preserve"> be matched by the coffee company</w:t>
      </w:r>
      <w:r w:rsidR="000C570E" w:rsidRPr="000C1D9A">
        <w:rPr>
          <w:rFonts w:asciiTheme="minorHAnsi" w:hAnsiTheme="minorHAnsi" w:cstheme="minorHAnsi"/>
          <w:sz w:val="22"/>
          <w:szCs w:val="22"/>
        </w:rPr>
        <w:t>.</w:t>
      </w:r>
      <w:r w:rsidRPr="000C1D9A">
        <w:rPr>
          <w:rFonts w:asciiTheme="minorHAnsi" w:hAnsiTheme="minorHAnsi" w:cstheme="minorHAnsi"/>
          <w:sz w:val="22"/>
          <w:szCs w:val="22"/>
        </w:rPr>
        <w:t xml:space="preserve"> </w:t>
      </w:r>
      <w:r w:rsidR="000C570E" w:rsidRPr="000C1D9A">
        <w:rPr>
          <w:rFonts w:asciiTheme="minorHAnsi" w:hAnsiTheme="minorHAnsi" w:cstheme="minorHAnsi"/>
          <w:sz w:val="22"/>
          <w:szCs w:val="22"/>
        </w:rPr>
        <w:t>T</w:t>
      </w:r>
      <w:r w:rsidRPr="000C1D9A">
        <w:rPr>
          <w:rFonts w:asciiTheme="minorHAnsi" w:hAnsiTheme="minorHAnsi" w:cstheme="minorHAnsi"/>
          <w:sz w:val="22"/>
          <w:szCs w:val="22"/>
        </w:rPr>
        <w:t xml:space="preserve">he proceeds </w:t>
      </w:r>
      <w:r w:rsidR="000C570E" w:rsidRPr="000C1D9A">
        <w:rPr>
          <w:rFonts w:asciiTheme="minorHAnsi" w:hAnsiTheme="minorHAnsi" w:cstheme="minorHAnsi"/>
          <w:sz w:val="22"/>
          <w:szCs w:val="22"/>
        </w:rPr>
        <w:t>will</w:t>
      </w:r>
      <w:r w:rsidRPr="000C1D9A">
        <w:rPr>
          <w:rFonts w:asciiTheme="minorHAnsi" w:hAnsiTheme="minorHAnsi" w:cstheme="minorHAnsi"/>
          <w:sz w:val="22"/>
          <w:szCs w:val="22"/>
        </w:rPr>
        <w:t xml:space="preserve"> be given to Affordable Housing for All Ltd. </w:t>
      </w:r>
      <w:r w:rsidR="002F1E3E" w:rsidRPr="000C1D9A">
        <w:rPr>
          <w:rFonts w:asciiTheme="minorHAnsi" w:hAnsiTheme="minorHAnsi" w:cstheme="minorHAnsi"/>
          <w:sz w:val="22"/>
          <w:szCs w:val="22"/>
        </w:rPr>
        <w:t xml:space="preserve">The fundraising venture will </w:t>
      </w:r>
      <w:r w:rsidR="00B07F67" w:rsidRPr="000C1D9A">
        <w:rPr>
          <w:rFonts w:asciiTheme="minorHAnsi" w:hAnsiTheme="minorHAnsi" w:cstheme="minorHAnsi"/>
          <w:sz w:val="22"/>
          <w:szCs w:val="22"/>
        </w:rPr>
        <w:t>includ</w:t>
      </w:r>
      <w:r w:rsidR="002850BA">
        <w:rPr>
          <w:rFonts w:asciiTheme="minorHAnsi" w:hAnsiTheme="minorHAnsi" w:cstheme="minorHAnsi"/>
          <w:sz w:val="22"/>
          <w:szCs w:val="22"/>
        </w:rPr>
        <w:t>e</w:t>
      </w:r>
      <w:r w:rsidR="00B07F67" w:rsidRPr="000C1D9A">
        <w:rPr>
          <w:rFonts w:asciiTheme="minorHAnsi" w:hAnsiTheme="minorHAnsi" w:cstheme="minorHAnsi"/>
          <w:sz w:val="22"/>
          <w:szCs w:val="22"/>
        </w:rPr>
        <w:t xml:space="preserve"> </w:t>
      </w:r>
      <w:r w:rsidR="00501EC5" w:rsidRPr="000C1D9A">
        <w:rPr>
          <w:rFonts w:asciiTheme="minorHAnsi" w:hAnsiTheme="minorHAnsi" w:cstheme="minorHAnsi"/>
          <w:sz w:val="22"/>
          <w:szCs w:val="22"/>
        </w:rPr>
        <w:t>advertise</w:t>
      </w:r>
      <w:r w:rsidR="00B07F67" w:rsidRPr="000C1D9A">
        <w:rPr>
          <w:rFonts w:asciiTheme="minorHAnsi" w:hAnsiTheme="minorHAnsi" w:cstheme="minorHAnsi"/>
          <w:sz w:val="22"/>
          <w:szCs w:val="22"/>
        </w:rPr>
        <w:t>ments</w:t>
      </w:r>
      <w:r w:rsidR="00501EC5" w:rsidRPr="000C1D9A">
        <w:rPr>
          <w:rFonts w:asciiTheme="minorHAnsi" w:hAnsiTheme="minorHAnsi" w:cstheme="minorHAnsi"/>
          <w:sz w:val="22"/>
          <w:szCs w:val="22"/>
        </w:rPr>
        <w:t xml:space="preserve"> that</w:t>
      </w:r>
      <w:r w:rsidR="00C9734E">
        <w:rPr>
          <w:rFonts w:asciiTheme="minorHAnsi" w:hAnsiTheme="minorHAnsi" w:cstheme="minorHAnsi"/>
          <w:sz w:val="22"/>
          <w:szCs w:val="22"/>
        </w:rPr>
        <w:t xml:space="preserve"> the</w:t>
      </w:r>
      <w:r w:rsidR="00501EC5" w:rsidRPr="000C1D9A">
        <w:rPr>
          <w:rFonts w:asciiTheme="minorHAnsi" w:hAnsiTheme="minorHAnsi" w:cstheme="minorHAnsi"/>
          <w:sz w:val="22"/>
          <w:szCs w:val="22"/>
        </w:rPr>
        <w:t xml:space="preserve"> </w:t>
      </w:r>
      <w:r w:rsidR="00776476">
        <w:rPr>
          <w:rFonts w:asciiTheme="minorHAnsi" w:hAnsiTheme="minorHAnsi" w:cstheme="minorHAnsi"/>
          <w:sz w:val="22"/>
          <w:szCs w:val="22"/>
        </w:rPr>
        <w:t>charity</w:t>
      </w:r>
      <w:r w:rsidR="00501EC5" w:rsidRPr="000C1D9A">
        <w:rPr>
          <w:rFonts w:asciiTheme="minorHAnsi" w:hAnsiTheme="minorHAnsi" w:cstheme="minorHAnsi"/>
          <w:sz w:val="22"/>
          <w:szCs w:val="22"/>
        </w:rPr>
        <w:t xml:space="preserve"> endorses the coffee company as a responsible corporate citizen.</w:t>
      </w:r>
    </w:p>
    <w:p w14:paraId="420CBE52" w14:textId="77777777" w:rsidR="00E5220A" w:rsidRDefault="00E5220A" w:rsidP="00696334">
      <w:pPr>
        <w:rPr>
          <w:rFonts w:asciiTheme="minorHAnsi" w:hAnsiTheme="minorHAnsi" w:cstheme="minorHAnsi"/>
          <w:sz w:val="22"/>
          <w:szCs w:val="22"/>
        </w:rPr>
      </w:pPr>
    </w:p>
    <w:p w14:paraId="56B82347" w14:textId="09928052" w:rsidR="00B33D82" w:rsidRPr="00E5220A" w:rsidRDefault="00271621" w:rsidP="00696334">
      <w:pPr>
        <w:rPr>
          <w:rFonts w:asciiTheme="minorHAnsi" w:hAnsiTheme="minorHAnsi" w:cstheme="minorHAnsi"/>
          <w:i/>
          <w:iCs/>
          <w:sz w:val="22"/>
          <w:szCs w:val="22"/>
        </w:rPr>
      </w:pPr>
      <w:r w:rsidRPr="00E5220A">
        <w:rPr>
          <w:rFonts w:asciiTheme="minorHAnsi" w:hAnsiTheme="minorHAnsi" w:cstheme="minorHAnsi"/>
          <w:i/>
          <w:iCs/>
          <w:sz w:val="22"/>
          <w:szCs w:val="22"/>
        </w:rPr>
        <w:t>While promoting</w:t>
      </w:r>
      <w:r w:rsidR="00D324EB" w:rsidRPr="00E5220A">
        <w:rPr>
          <w:rFonts w:asciiTheme="minorHAnsi" w:hAnsiTheme="minorHAnsi" w:cstheme="minorHAnsi"/>
          <w:i/>
          <w:iCs/>
          <w:sz w:val="22"/>
          <w:szCs w:val="22"/>
        </w:rPr>
        <w:t xml:space="preserve"> a</w:t>
      </w:r>
      <w:r w:rsidRPr="00E5220A">
        <w:rPr>
          <w:rFonts w:asciiTheme="minorHAnsi" w:hAnsiTheme="minorHAnsi" w:cstheme="minorHAnsi"/>
          <w:i/>
          <w:iCs/>
          <w:sz w:val="22"/>
          <w:szCs w:val="22"/>
        </w:rPr>
        <w:t xml:space="preserve"> coffee</w:t>
      </w:r>
      <w:r w:rsidR="00D324EB" w:rsidRPr="00E5220A">
        <w:rPr>
          <w:rFonts w:asciiTheme="minorHAnsi" w:hAnsiTheme="minorHAnsi" w:cstheme="minorHAnsi"/>
          <w:i/>
          <w:iCs/>
          <w:sz w:val="22"/>
          <w:szCs w:val="22"/>
        </w:rPr>
        <w:t xml:space="preserve"> company</w:t>
      </w:r>
      <w:r w:rsidRPr="00E5220A">
        <w:rPr>
          <w:rFonts w:asciiTheme="minorHAnsi" w:hAnsiTheme="minorHAnsi" w:cstheme="minorHAnsi"/>
          <w:i/>
          <w:iCs/>
          <w:sz w:val="22"/>
          <w:szCs w:val="22"/>
        </w:rPr>
        <w:t xml:space="preserve"> is not </w:t>
      </w:r>
      <w:r w:rsidR="00E5220A">
        <w:rPr>
          <w:rFonts w:asciiTheme="minorHAnsi" w:hAnsiTheme="minorHAnsi" w:cstheme="minorHAnsi"/>
          <w:i/>
          <w:iCs/>
          <w:sz w:val="22"/>
          <w:szCs w:val="22"/>
        </w:rPr>
        <w:t>a</w:t>
      </w:r>
      <w:r w:rsidR="00776476">
        <w:rPr>
          <w:rFonts w:asciiTheme="minorHAnsi" w:hAnsiTheme="minorHAnsi" w:cstheme="minorHAnsi"/>
          <w:i/>
          <w:iCs/>
          <w:sz w:val="22"/>
          <w:szCs w:val="22"/>
        </w:rPr>
        <w:t xml:space="preserve"> purpose of</w:t>
      </w:r>
      <w:r w:rsidR="00E5220A">
        <w:rPr>
          <w:rFonts w:asciiTheme="minorHAnsi" w:hAnsiTheme="minorHAnsi" w:cstheme="minorHAnsi"/>
          <w:i/>
          <w:iCs/>
          <w:sz w:val="22"/>
          <w:szCs w:val="22"/>
        </w:rPr>
        <w:t xml:space="preserve"> benevolent relief</w:t>
      </w:r>
      <w:r w:rsidRPr="00E5220A">
        <w:rPr>
          <w:rFonts w:asciiTheme="minorHAnsi" w:hAnsiTheme="minorHAnsi" w:cstheme="minorHAnsi"/>
          <w:i/>
          <w:iCs/>
          <w:sz w:val="22"/>
          <w:szCs w:val="22"/>
        </w:rPr>
        <w:t xml:space="preserve">, it seems clear that the purpose of the new venture is to raise funds for Affordable Housing for All </w:t>
      </w:r>
      <w:proofErr w:type="spellStart"/>
      <w:r w:rsidRPr="00E5220A">
        <w:rPr>
          <w:rFonts w:asciiTheme="minorHAnsi" w:hAnsiTheme="minorHAnsi" w:cstheme="minorHAnsi"/>
          <w:i/>
          <w:iCs/>
          <w:sz w:val="22"/>
          <w:szCs w:val="22"/>
        </w:rPr>
        <w:t>Ltd’s</w:t>
      </w:r>
      <w:proofErr w:type="spellEnd"/>
      <w:r w:rsidRPr="00E5220A">
        <w:rPr>
          <w:rFonts w:asciiTheme="minorHAnsi" w:hAnsiTheme="minorHAnsi" w:cstheme="minorHAnsi"/>
          <w:i/>
          <w:iCs/>
          <w:sz w:val="22"/>
          <w:szCs w:val="22"/>
        </w:rPr>
        <w:t xml:space="preserve"> community housing program. </w:t>
      </w:r>
      <w:r w:rsidR="00500263" w:rsidRPr="00E5220A">
        <w:rPr>
          <w:rFonts w:asciiTheme="minorHAnsi" w:hAnsiTheme="minorHAnsi" w:cstheme="minorHAnsi"/>
          <w:i/>
          <w:iCs/>
          <w:sz w:val="22"/>
          <w:szCs w:val="22"/>
        </w:rPr>
        <w:t>So,</w:t>
      </w:r>
      <w:r w:rsidRPr="00E5220A">
        <w:rPr>
          <w:rFonts w:asciiTheme="minorHAnsi" w:hAnsiTheme="minorHAnsi" w:cstheme="minorHAnsi"/>
          <w:i/>
          <w:iCs/>
          <w:sz w:val="22"/>
          <w:szCs w:val="22"/>
        </w:rPr>
        <w:t xml:space="preserve"> engaging in the program is unlikely to impact </w:t>
      </w:r>
      <w:r w:rsidR="00E348DC" w:rsidRPr="00E5220A">
        <w:rPr>
          <w:rFonts w:asciiTheme="minorHAnsi" w:hAnsiTheme="minorHAnsi" w:cstheme="minorHAnsi"/>
          <w:i/>
          <w:iCs/>
          <w:sz w:val="22"/>
          <w:szCs w:val="22"/>
        </w:rPr>
        <w:t xml:space="preserve">Affordable Housing for All </w:t>
      </w:r>
      <w:proofErr w:type="spellStart"/>
      <w:r w:rsidR="00E348DC" w:rsidRPr="00E5220A">
        <w:rPr>
          <w:rFonts w:asciiTheme="minorHAnsi" w:hAnsiTheme="minorHAnsi" w:cstheme="minorHAnsi"/>
          <w:i/>
          <w:iCs/>
          <w:sz w:val="22"/>
          <w:szCs w:val="22"/>
        </w:rPr>
        <w:t>Ltd’s</w:t>
      </w:r>
      <w:proofErr w:type="spellEnd"/>
      <w:r w:rsidR="00E348DC" w:rsidRPr="00E5220A">
        <w:rPr>
          <w:rFonts w:asciiTheme="minorHAnsi" w:hAnsiTheme="minorHAnsi" w:cstheme="minorHAnsi"/>
          <w:i/>
          <w:iCs/>
          <w:sz w:val="22"/>
          <w:szCs w:val="22"/>
        </w:rPr>
        <w:t xml:space="preserve"> </w:t>
      </w:r>
      <w:r w:rsidRPr="00E5220A">
        <w:rPr>
          <w:rFonts w:asciiTheme="minorHAnsi" w:hAnsiTheme="minorHAnsi" w:cstheme="minorHAnsi"/>
          <w:i/>
          <w:iCs/>
          <w:sz w:val="22"/>
          <w:szCs w:val="22"/>
        </w:rPr>
        <w:t xml:space="preserve">registration as </w:t>
      </w:r>
      <w:r w:rsidR="004C033C">
        <w:rPr>
          <w:rFonts w:asciiTheme="minorHAnsi" w:hAnsiTheme="minorHAnsi" w:cstheme="minorHAnsi"/>
          <w:i/>
          <w:iCs/>
          <w:sz w:val="22"/>
          <w:szCs w:val="22"/>
        </w:rPr>
        <w:t>a</w:t>
      </w:r>
      <w:r w:rsidR="004C033C" w:rsidRPr="00E5220A">
        <w:rPr>
          <w:rFonts w:asciiTheme="minorHAnsi" w:hAnsiTheme="minorHAnsi" w:cstheme="minorHAnsi"/>
          <w:i/>
          <w:iCs/>
          <w:sz w:val="22"/>
          <w:szCs w:val="22"/>
        </w:rPr>
        <w:t xml:space="preserve"> </w:t>
      </w:r>
      <w:r w:rsidR="00E348DC" w:rsidRPr="00E5220A">
        <w:rPr>
          <w:rFonts w:asciiTheme="minorHAnsi" w:hAnsiTheme="minorHAnsi" w:cstheme="minorHAnsi"/>
          <w:i/>
          <w:iCs/>
          <w:sz w:val="22"/>
          <w:szCs w:val="22"/>
        </w:rPr>
        <w:t>PBI</w:t>
      </w:r>
      <w:r w:rsidRPr="00E5220A">
        <w:rPr>
          <w:rFonts w:asciiTheme="minorHAnsi" w:hAnsiTheme="minorHAnsi" w:cstheme="minorHAnsi"/>
          <w:i/>
          <w:iCs/>
          <w:sz w:val="22"/>
          <w:szCs w:val="22"/>
        </w:rPr>
        <w:t>.</w:t>
      </w:r>
      <w:r w:rsidR="0099049E">
        <w:rPr>
          <w:rFonts w:asciiTheme="minorHAnsi" w:hAnsiTheme="minorHAnsi" w:cstheme="minorHAnsi"/>
          <w:i/>
          <w:iCs/>
          <w:sz w:val="22"/>
          <w:szCs w:val="22"/>
        </w:rPr>
        <w:t xml:space="preserve"> See paragraphs</w:t>
      </w:r>
      <w:r w:rsidR="00E03C87">
        <w:rPr>
          <w:rFonts w:asciiTheme="minorHAnsi" w:hAnsiTheme="minorHAnsi" w:cstheme="minorHAnsi"/>
          <w:i/>
          <w:iCs/>
          <w:sz w:val="22"/>
          <w:szCs w:val="22"/>
        </w:rPr>
        <w:t xml:space="preserve"> 35 to 39 above for further detail. See also </w:t>
      </w:r>
      <w:r w:rsidR="00E03C87" w:rsidRPr="00E03C87">
        <w:rPr>
          <w:rFonts w:asciiTheme="minorHAnsi" w:hAnsiTheme="minorHAnsi" w:cstheme="minorHAnsi"/>
          <w:i/>
          <w:iCs/>
          <w:sz w:val="22"/>
          <w:szCs w:val="22"/>
        </w:rPr>
        <w:t>Federal Commissioner of Taxation v Word Investments (2008) 236 CLR 204</w:t>
      </w:r>
      <w:r w:rsidR="00E03C87">
        <w:rPr>
          <w:rFonts w:asciiTheme="minorHAnsi" w:hAnsiTheme="minorHAnsi" w:cstheme="minorHAnsi"/>
          <w:i/>
          <w:iCs/>
          <w:sz w:val="22"/>
          <w:szCs w:val="22"/>
        </w:rPr>
        <w:t>.</w:t>
      </w:r>
    </w:p>
    <w:p w14:paraId="35B14C4C" w14:textId="77777777" w:rsidR="00E5220A" w:rsidRDefault="00E5220A" w:rsidP="00696334">
      <w:pPr>
        <w:rPr>
          <w:rFonts w:asciiTheme="minorHAnsi" w:hAnsiTheme="minorHAnsi" w:cstheme="minorHAnsi"/>
          <w:sz w:val="22"/>
          <w:szCs w:val="22"/>
        </w:rPr>
      </w:pPr>
    </w:p>
    <w:p w14:paraId="7BBE02CF" w14:textId="461C6130" w:rsidR="00404246" w:rsidRPr="00A95EDF" w:rsidRDefault="00404246" w:rsidP="00696334">
      <w:pPr>
        <w:rPr>
          <w:rFonts w:asciiTheme="minorHAnsi" w:hAnsiTheme="minorHAnsi" w:cstheme="minorHAnsi"/>
          <w:sz w:val="22"/>
          <w:szCs w:val="22"/>
          <w:u w:val="single"/>
        </w:rPr>
      </w:pPr>
      <w:r w:rsidRPr="00A95EDF">
        <w:rPr>
          <w:rFonts w:asciiTheme="minorHAnsi" w:hAnsiTheme="minorHAnsi" w:cstheme="minorHAnsi"/>
          <w:sz w:val="22"/>
          <w:szCs w:val="22"/>
          <w:u w:val="single"/>
        </w:rPr>
        <w:t xml:space="preserve">Example </w:t>
      </w:r>
      <w:r w:rsidR="0053749B">
        <w:rPr>
          <w:rFonts w:asciiTheme="minorHAnsi" w:hAnsiTheme="minorHAnsi" w:cstheme="minorHAnsi"/>
          <w:sz w:val="22"/>
          <w:szCs w:val="22"/>
          <w:u w:val="single"/>
        </w:rPr>
        <w:t>7</w:t>
      </w:r>
    </w:p>
    <w:p w14:paraId="628A2008" w14:textId="77777777" w:rsidR="00A95EDF" w:rsidRDefault="00A95EDF" w:rsidP="00696334">
      <w:pPr>
        <w:rPr>
          <w:rFonts w:asciiTheme="minorHAnsi" w:hAnsiTheme="minorHAnsi" w:cstheme="minorHAnsi"/>
          <w:sz w:val="22"/>
          <w:szCs w:val="22"/>
        </w:rPr>
      </w:pPr>
    </w:p>
    <w:p w14:paraId="25E2E3C5" w14:textId="2B2665D0" w:rsidR="00EF3F4E" w:rsidRPr="000C1D9A" w:rsidRDefault="00DC00B4" w:rsidP="00696334">
      <w:pPr>
        <w:rPr>
          <w:rFonts w:asciiTheme="minorHAnsi" w:hAnsiTheme="minorHAnsi" w:cstheme="minorHAnsi"/>
          <w:sz w:val="22"/>
          <w:szCs w:val="22"/>
        </w:rPr>
      </w:pPr>
      <w:r w:rsidRPr="000C1D9A">
        <w:rPr>
          <w:rFonts w:asciiTheme="minorHAnsi" w:hAnsiTheme="minorHAnsi" w:cstheme="minorHAnsi"/>
          <w:sz w:val="22"/>
          <w:szCs w:val="22"/>
        </w:rPr>
        <w:t xml:space="preserve">Climate </w:t>
      </w:r>
      <w:r w:rsidR="001F550F" w:rsidRPr="000C1D9A">
        <w:rPr>
          <w:rFonts w:asciiTheme="minorHAnsi" w:hAnsiTheme="minorHAnsi" w:cstheme="minorHAnsi"/>
          <w:sz w:val="22"/>
          <w:szCs w:val="22"/>
        </w:rPr>
        <w:t>Response</w:t>
      </w:r>
      <w:r w:rsidR="00163931" w:rsidRPr="000C1D9A">
        <w:rPr>
          <w:rFonts w:asciiTheme="minorHAnsi" w:hAnsiTheme="minorHAnsi" w:cstheme="minorHAnsi"/>
          <w:sz w:val="22"/>
          <w:szCs w:val="22"/>
        </w:rPr>
        <w:t xml:space="preserve"> </w:t>
      </w:r>
      <w:r w:rsidR="00B34EFB" w:rsidRPr="000C1D9A">
        <w:rPr>
          <w:rFonts w:asciiTheme="minorHAnsi" w:hAnsiTheme="minorHAnsi" w:cstheme="minorHAnsi"/>
          <w:sz w:val="22"/>
          <w:szCs w:val="22"/>
        </w:rPr>
        <w:t>Team</w:t>
      </w:r>
      <w:r w:rsidR="00163931" w:rsidRPr="000C1D9A">
        <w:rPr>
          <w:rFonts w:asciiTheme="minorHAnsi" w:hAnsiTheme="minorHAnsi" w:cstheme="minorHAnsi"/>
          <w:sz w:val="22"/>
          <w:szCs w:val="22"/>
        </w:rPr>
        <w:t xml:space="preserve"> Ltd has</w:t>
      </w:r>
      <w:r w:rsidR="00BF3040" w:rsidRPr="000C1D9A">
        <w:rPr>
          <w:rFonts w:asciiTheme="minorHAnsi" w:hAnsiTheme="minorHAnsi" w:cstheme="minorHAnsi"/>
          <w:sz w:val="22"/>
          <w:szCs w:val="22"/>
        </w:rPr>
        <w:t xml:space="preserve"> an</w:t>
      </w:r>
      <w:r w:rsidR="00163931" w:rsidRPr="000C1D9A">
        <w:rPr>
          <w:rFonts w:asciiTheme="minorHAnsi" w:hAnsiTheme="minorHAnsi" w:cstheme="minorHAnsi"/>
          <w:sz w:val="22"/>
          <w:szCs w:val="22"/>
        </w:rPr>
        <w:t xml:space="preserve"> object of relieving </w:t>
      </w:r>
      <w:r w:rsidR="009F758D">
        <w:rPr>
          <w:rFonts w:asciiTheme="minorHAnsi" w:hAnsiTheme="minorHAnsi" w:cstheme="minorHAnsi"/>
          <w:sz w:val="22"/>
          <w:szCs w:val="22"/>
        </w:rPr>
        <w:t xml:space="preserve">the </w:t>
      </w:r>
      <w:r w:rsidR="00163931" w:rsidRPr="000C1D9A">
        <w:rPr>
          <w:rFonts w:asciiTheme="minorHAnsi" w:hAnsiTheme="minorHAnsi" w:cstheme="minorHAnsi"/>
          <w:sz w:val="22"/>
          <w:szCs w:val="22"/>
        </w:rPr>
        <w:t xml:space="preserve">poverty of people most affected by </w:t>
      </w:r>
      <w:r w:rsidR="00BF3040" w:rsidRPr="000C1D9A">
        <w:rPr>
          <w:rFonts w:asciiTheme="minorHAnsi" w:hAnsiTheme="minorHAnsi" w:cstheme="minorHAnsi"/>
          <w:sz w:val="22"/>
          <w:szCs w:val="22"/>
        </w:rPr>
        <w:t xml:space="preserve">climate change. It achieves its object by lobbying governments around the world to adopt climate policies that </w:t>
      </w:r>
      <w:r w:rsidR="001438D9" w:rsidRPr="000C1D9A">
        <w:rPr>
          <w:rFonts w:asciiTheme="minorHAnsi" w:hAnsiTheme="minorHAnsi" w:cstheme="minorHAnsi"/>
          <w:sz w:val="22"/>
          <w:szCs w:val="22"/>
        </w:rPr>
        <w:t>seek to limit the effects of climate change</w:t>
      </w:r>
      <w:r w:rsidR="00A95EDF">
        <w:rPr>
          <w:rFonts w:asciiTheme="minorHAnsi" w:hAnsiTheme="minorHAnsi" w:cstheme="minorHAnsi"/>
          <w:sz w:val="22"/>
          <w:szCs w:val="22"/>
        </w:rPr>
        <w:t>.</w:t>
      </w:r>
    </w:p>
    <w:p w14:paraId="3DABC6B9" w14:textId="77777777" w:rsidR="00A95EDF" w:rsidRPr="00A95EDF" w:rsidRDefault="00A95EDF" w:rsidP="00696334">
      <w:pPr>
        <w:rPr>
          <w:rFonts w:asciiTheme="minorHAnsi" w:hAnsiTheme="minorHAnsi" w:cstheme="minorHAnsi"/>
          <w:i/>
          <w:iCs/>
          <w:sz w:val="22"/>
          <w:szCs w:val="22"/>
        </w:rPr>
      </w:pPr>
    </w:p>
    <w:p w14:paraId="1F88B61D" w14:textId="70FE75BB" w:rsidR="00BE00BE" w:rsidRPr="00A95EDF" w:rsidRDefault="00D47079" w:rsidP="00696334">
      <w:pPr>
        <w:rPr>
          <w:rFonts w:asciiTheme="minorHAnsi" w:hAnsiTheme="minorHAnsi" w:cstheme="minorHAnsi"/>
          <w:i/>
          <w:iCs/>
          <w:sz w:val="22"/>
          <w:szCs w:val="22"/>
        </w:rPr>
      </w:pPr>
      <w:r w:rsidRPr="00A95EDF">
        <w:rPr>
          <w:rFonts w:asciiTheme="minorHAnsi" w:hAnsiTheme="minorHAnsi" w:cstheme="minorHAnsi"/>
          <w:i/>
          <w:iCs/>
          <w:sz w:val="22"/>
          <w:szCs w:val="22"/>
        </w:rPr>
        <w:t xml:space="preserve">It is unlikely that Climate </w:t>
      </w:r>
      <w:r w:rsidR="001F550F" w:rsidRPr="00A95EDF">
        <w:rPr>
          <w:rFonts w:asciiTheme="minorHAnsi" w:hAnsiTheme="minorHAnsi" w:cstheme="minorHAnsi"/>
          <w:i/>
          <w:iCs/>
          <w:sz w:val="22"/>
          <w:szCs w:val="22"/>
        </w:rPr>
        <w:t>Response</w:t>
      </w:r>
      <w:r w:rsidR="00B34EFB" w:rsidRPr="00A95EDF">
        <w:rPr>
          <w:rFonts w:asciiTheme="minorHAnsi" w:hAnsiTheme="minorHAnsi" w:cstheme="minorHAnsi"/>
          <w:i/>
          <w:iCs/>
          <w:sz w:val="22"/>
          <w:szCs w:val="22"/>
        </w:rPr>
        <w:t xml:space="preserve"> Team</w:t>
      </w:r>
      <w:r w:rsidRPr="00A95EDF">
        <w:rPr>
          <w:rFonts w:asciiTheme="minorHAnsi" w:hAnsiTheme="minorHAnsi" w:cstheme="minorHAnsi"/>
          <w:i/>
          <w:iCs/>
          <w:sz w:val="22"/>
          <w:szCs w:val="22"/>
        </w:rPr>
        <w:t xml:space="preserve"> Ltd is a PBI. Although it has an object of relieving poverty, the </w:t>
      </w:r>
      <w:r w:rsidR="007F5340" w:rsidRPr="00A95EDF">
        <w:rPr>
          <w:rFonts w:asciiTheme="minorHAnsi" w:hAnsiTheme="minorHAnsi" w:cstheme="minorHAnsi"/>
          <w:i/>
          <w:iCs/>
          <w:sz w:val="22"/>
          <w:szCs w:val="22"/>
        </w:rPr>
        <w:t xml:space="preserve">relationship between </w:t>
      </w:r>
      <w:r w:rsidR="004C033C">
        <w:rPr>
          <w:rFonts w:asciiTheme="minorHAnsi" w:hAnsiTheme="minorHAnsi" w:cstheme="minorHAnsi"/>
          <w:i/>
          <w:iCs/>
          <w:sz w:val="22"/>
          <w:szCs w:val="22"/>
        </w:rPr>
        <w:t>its activities</w:t>
      </w:r>
      <w:r w:rsidR="007F5340" w:rsidRPr="00A95EDF">
        <w:rPr>
          <w:rFonts w:asciiTheme="minorHAnsi" w:hAnsiTheme="minorHAnsi" w:cstheme="minorHAnsi"/>
          <w:i/>
          <w:iCs/>
          <w:sz w:val="22"/>
          <w:szCs w:val="22"/>
        </w:rPr>
        <w:t xml:space="preserve"> and the relief of poverty is</w:t>
      </w:r>
      <w:r w:rsidR="00120865" w:rsidRPr="00A95EDF">
        <w:rPr>
          <w:rFonts w:asciiTheme="minorHAnsi" w:hAnsiTheme="minorHAnsi" w:cstheme="minorHAnsi"/>
          <w:i/>
          <w:iCs/>
          <w:sz w:val="22"/>
          <w:szCs w:val="22"/>
        </w:rPr>
        <w:t xml:space="preserve"> abstract – attempting to get governments to adopt certain </w:t>
      </w:r>
      <w:r w:rsidR="00C7290A" w:rsidRPr="00A95EDF">
        <w:rPr>
          <w:rFonts w:asciiTheme="minorHAnsi" w:hAnsiTheme="minorHAnsi" w:cstheme="minorHAnsi"/>
          <w:i/>
          <w:iCs/>
          <w:sz w:val="22"/>
          <w:szCs w:val="22"/>
        </w:rPr>
        <w:t xml:space="preserve">environmental policies that it believes will </w:t>
      </w:r>
      <w:r w:rsidR="004B61AF" w:rsidRPr="00A95EDF">
        <w:rPr>
          <w:rFonts w:asciiTheme="minorHAnsi" w:hAnsiTheme="minorHAnsi" w:cstheme="minorHAnsi"/>
          <w:i/>
          <w:iCs/>
          <w:sz w:val="22"/>
          <w:szCs w:val="22"/>
        </w:rPr>
        <w:t>reduce poverty if they are adopted</w:t>
      </w:r>
      <w:r w:rsidR="00B67610" w:rsidRPr="00A95EDF">
        <w:rPr>
          <w:rFonts w:asciiTheme="minorHAnsi" w:hAnsiTheme="minorHAnsi" w:cstheme="minorHAnsi"/>
          <w:i/>
          <w:iCs/>
          <w:sz w:val="22"/>
          <w:szCs w:val="22"/>
        </w:rPr>
        <w:t>. Furthermore, as climate change affects the community generally, not just people who are in poverty, the</w:t>
      </w:r>
      <w:r w:rsidR="00E95318" w:rsidRPr="00A95EDF">
        <w:rPr>
          <w:rFonts w:asciiTheme="minorHAnsi" w:hAnsiTheme="minorHAnsi" w:cstheme="minorHAnsi"/>
          <w:i/>
          <w:iCs/>
          <w:sz w:val="22"/>
          <w:szCs w:val="22"/>
        </w:rPr>
        <w:t xml:space="preserve"> purpose of Climate Action Group Ltd appears to be to promote the social welfare of the community generally.</w:t>
      </w:r>
      <w:r w:rsidR="00BE00BE" w:rsidRPr="00A95EDF">
        <w:rPr>
          <w:rFonts w:asciiTheme="minorHAnsi" w:hAnsiTheme="minorHAnsi" w:cstheme="minorHAnsi"/>
          <w:i/>
          <w:iCs/>
          <w:sz w:val="22"/>
          <w:szCs w:val="22"/>
        </w:rPr>
        <w:t xml:space="preserve"> </w:t>
      </w:r>
      <w:r w:rsidR="00366DB7">
        <w:rPr>
          <w:rFonts w:asciiTheme="minorHAnsi" w:hAnsiTheme="minorHAnsi" w:cstheme="minorHAnsi"/>
          <w:i/>
          <w:iCs/>
          <w:sz w:val="22"/>
          <w:szCs w:val="22"/>
        </w:rPr>
        <w:t>Refer to</w:t>
      </w:r>
      <w:r w:rsidR="0097496E">
        <w:rPr>
          <w:rFonts w:asciiTheme="minorHAnsi" w:hAnsiTheme="minorHAnsi" w:cstheme="minorHAnsi"/>
          <w:i/>
          <w:iCs/>
          <w:sz w:val="22"/>
          <w:szCs w:val="22"/>
        </w:rPr>
        <w:t xml:space="preserve"> paragraphs 18 to 22</w:t>
      </w:r>
      <w:r w:rsidR="00366DB7">
        <w:rPr>
          <w:rFonts w:asciiTheme="minorHAnsi" w:hAnsiTheme="minorHAnsi" w:cstheme="minorHAnsi"/>
          <w:i/>
          <w:iCs/>
          <w:sz w:val="22"/>
          <w:szCs w:val="22"/>
        </w:rPr>
        <w:t xml:space="preserve"> above for more detail. See also</w:t>
      </w:r>
      <w:r w:rsidR="00D8729F">
        <w:rPr>
          <w:rFonts w:asciiTheme="minorHAnsi" w:hAnsiTheme="minorHAnsi" w:cstheme="minorHAnsi"/>
          <w:i/>
          <w:iCs/>
          <w:sz w:val="22"/>
          <w:szCs w:val="22"/>
        </w:rPr>
        <w:t xml:space="preserve"> </w:t>
      </w:r>
      <w:r w:rsidR="00D8729F" w:rsidRPr="00D8729F">
        <w:rPr>
          <w:rFonts w:asciiTheme="minorHAnsi" w:hAnsiTheme="minorHAnsi" w:cstheme="minorHAnsi"/>
          <w:i/>
          <w:iCs/>
          <w:sz w:val="22"/>
          <w:szCs w:val="22"/>
        </w:rPr>
        <w:t>Global Citizen Limited v Commissioner of the Australian Charities and Not-for-profits Commission [2021] AATA 3313 [98] (McCabe DP; O’Connell SM)</w:t>
      </w:r>
      <w:r w:rsidR="00366DB7">
        <w:rPr>
          <w:rFonts w:asciiTheme="minorHAnsi" w:hAnsiTheme="minorHAnsi" w:cstheme="minorHAnsi"/>
          <w:i/>
          <w:iCs/>
          <w:sz w:val="22"/>
          <w:szCs w:val="22"/>
        </w:rPr>
        <w:t xml:space="preserve"> and </w:t>
      </w:r>
      <w:r w:rsidR="00366DB7" w:rsidRPr="00366DB7">
        <w:rPr>
          <w:rFonts w:asciiTheme="minorHAnsi" w:hAnsiTheme="minorHAnsi" w:cstheme="minorHAnsi"/>
          <w:i/>
          <w:iCs/>
          <w:sz w:val="22"/>
          <w:szCs w:val="22"/>
        </w:rPr>
        <w:t>Australians for Indigenous Constitutional Recognition Ltd v Commissioner of the Australian Charities and Not-for-profits Commission [2021] FCA 435</w:t>
      </w:r>
      <w:r w:rsidR="00366DB7">
        <w:rPr>
          <w:rFonts w:asciiTheme="minorHAnsi" w:hAnsiTheme="minorHAnsi" w:cstheme="minorHAnsi"/>
          <w:i/>
          <w:iCs/>
          <w:sz w:val="22"/>
          <w:szCs w:val="22"/>
        </w:rPr>
        <w:t>.</w:t>
      </w:r>
    </w:p>
    <w:p w14:paraId="6B7668B6" w14:textId="77777777" w:rsidR="00A95EDF" w:rsidRDefault="00A95EDF" w:rsidP="00696334">
      <w:pPr>
        <w:rPr>
          <w:rFonts w:asciiTheme="minorHAnsi" w:hAnsiTheme="minorHAnsi" w:cstheme="minorHAnsi"/>
          <w:sz w:val="22"/>
          <w:szCs w:val="22"/>
        </w:rPr>
      </w:pPr>
    </w:p>
    <w:p w14:paraId="1FCA41D1" w14:textId="49C9438E" w:rsidR="00AC28B1" w:rsidRPr="00A95EDF" w:rsidRDefault="00BE00BE" w:rsidP="00696334">
      <w:pPr>
        <w:rPr>
          <w:rFonts w:asciiTheme="minorHAnsi" w:hAnsiTheme="minorHAnsi" w:cstheme="minorHAnsi"/>
          <w:sz w:val="22"/>
          <w:szCs w:val="22"/>
          <w:u w:val="single"/>
        </w:rPr>
      </w:pPr>
      <w:r w:rsidRPr="00A95EDF">
        <w:rPr>
          <w:rFonts w:asciiTheme="minorHAnsi" w:hAnsiTheme="minorHAnsi" w:cstheme="minorHAnsi"/>
          <w:sz w:val="22"/>
          <w:szCs w:val="22"/>
          <w:u w:val="single"/>
        </w:rPr>
        <w:t xml:space="preserve">Example </w:t>
      </w:r>
      <w:r w:rsidR="0053749B">
        <w:rPr>
          <w:rFonts w:asciiTheme="minorHAnsi" w:hAnsiTheme="minorHAnsi" w:cstheme="minorHAnsi"/>
          <w:sz w:val="22"/>
          <w:szCs w:val="22"/>
          <w:u w:val="single"/>
        </w:rPr>
        <w:t>8</w:t>
      </w:r>
    </w:p>
    <w:p w14:paraId="556B36B5" w14:textId="77777777" w:rsidR="00A95EDF" w:rsidRDefault="00A95EDF" w:rsidP="00696334">
      <w:pPr>
        <w:rPr>
          <w:rFonts w:asciiTheme="minorHAnsi" w:hAnsiTheme="minorHAnsi" w:cstheme="minorHAnsi"/>
          <w:sz w:val="22"/>
          <w:szCs w:val="22"/>
        </w:rPr>
      </w:pPr>
    </w:p>
    <w:p w14:paraId="786F985C" w14:textId="394E6A02" w:rsidR="00A87298" w:rsidRPr="000C1D9A" w:rsidRDefault="00A87298" w:rsidP="00696334">
      <w:pPr>
        <w:rPr>
          <w:rFonts w:asciiTheme="minorHAnsi" w:hAnsiTheme="minorHAnsi" w:cstheme="minorHAnsi"/>
          <w:sz w:val="22"/>
          <w:szCs w:val="22"/>
        </w:rPr>
      </w:pPr>
      <w:r w:rsidRPr="000C1D9A">
        <w:rPr>
          <w:rFonts w:asciiTheme="minorHAnsi" w:hAnsiTheme="minorHAnsi" w:cstheme="minorHAnsi"/>
          <w:sz w:val="22"/>
          <w:szCs w:val="22"/>
        </w:rPr>
        <w:t xml:space="preserve">Disaster Relief </w:t>
      </w:r>
      <w:r w:rsidR="00523A3A" w:rsidRPr="000C1D9A">
        <w:rPr>
          <w:rFonts w:asciiTheme="minorHAnsi" w:hAnsiTheme="minorHAnsi" w:cstheme="minorHAnsi"/>
          <w:sz w:val="22"/>
          <w:szCs w:val="22"/>
        </w:rPr>
        <w:t>Ltd has</w:t>
      </w:r>
      <w:r w:rsidR="00E75BD5">
        <w:rPr>
          <w:rFonts w:asciiTheme="minorHAnsi" w:hAnsiTheme="minorHAnsi" w:cstheme="minorHAnsi"/>
          <w:sz w:val="22"/>
          <w:szCs w:val="22"/>
        </w:rPr>
        <w:t xml:space="preserve"> an</w:t>
      </w:r>
      <w:r w:rsidR="00523A3A" w:rsidRPr="000C1D9A">
        <w:rPr>
          <w:rFonts w:asciiTheme="minorHAnsi" w:hAnsiTheme="minorHAnsi" w:cstheme="minorHAnsi"/>
          <w:sz w:val="22"/>
          <w:szCs w:val="22"/>
        </w:rPr>
        <w:t xml:space="preserve"> object of relieving the distress of individuals and families </w:t>
      </w:r>
      <w:r w:rsidR="000867F1" w:rsidRPr="000C1D9A">
        <w:rPr>
          <w:rFonts w:asciiTheme="minorHAnsi" w:hAnsiTheme="minorHAnsi" w:cstheme="minorHAnsi"/>
          <w:sz w:val="22"/>
          <w:szCs w:val="22"/>
        </w:rPr>
        <w:t xml:space="preserve">affected by natural disasters. In the aftermath of a natural disaster, </w:t>
      </w:r>
      <w:r w:rsidR="006C7E77" w:rsidRPr="000C1D9A">
        <w:rPr>
          <w:rFonts w:asciiTheme="minorHAnsi" w:hAnsiTheme="minorHAnsi" w:cstheme="minorHAnsi"/>
          <w:sz w:val="22"/>
          <w:szCs w:val="22"/>
        </w:rPr>
        <w:t>Disaster Relief Ltd</w:t>
      </w:r>
      <w:r w:rsidR="000867F1" w:rsidRPr="000C1D9A">
        <w:rPr>
          <w:rFonts w:asciiTheme="minorHAnsi" w:hAnsiTheme="minorHAnsi" w:cstheme="minorHAnsi"/>
          <w:sz w:val="22"/>
          <w:szCs w:val="22"/>
        </w:rPr>
        <w:t xml:space="preserve"> </w:t>
      </w:r>
      <w:r w:rsidR="00DA006D">
        <w:rPr>
          <w:rFonts w:asciiTheme="minorHAnsi" w:hAnsiTheme="minorHAnsi" w:cstheme="minorHAnsi"/>
          <w:sz w:val="22"/>
          <w:szCs w:val="22"/>
        </w:rPr>
        <w:t>provides</w:t>
      </w:r>
      <w:r w:rsidR="00DA006D" w:rsidRPr="000C1D9A">
        <w:rPr>
          <w:rFonts w:asciiTheme="minorHAnsi" w:hAnsiTheme="minorHAnsi" w:cstheme="minorHAnsi"/>
          <w:sz w:val="22"/>
          <w:szCs w:val="22"/>
        </w:rPr>
        <w:t xml:space="preserve"> </w:t>
      </w:r>
      <w:r w:rsidR="000867F1" w:rsidRPr="000C1D9A">
        <w:rPr>
          <w:rFonts w:asciiTheme="minorHAnsi" w:hAnsiTheme="minorHAnsi" w:cstheme="minorHAnsi"/>
          <w:sz w:val="22"/>
          <w:szCs w:val="22"/>
        </w:rPr>
        <w:t xml:space="preserve">emergency clothing, food, </w:t>
      </w:r>
      <w:proofErr w:type="gramStart"/>
      <w:r w:rsidR="000867F1" w:rsidRPr="000C1D9A">
        <w:rPr>
          <w:rFonts w:asciiTheme="minorHAnsi" w:hAnsiTheme="minorHAnsi" w:cstheme="minorHAnsi"/>
          <w:sz w:val="22"/>
          <w:szCs w:val="22"/>
        </w:rPr>
        <w:t>toiletries</w:t>
      </w:r>
      <w:proofErr w:type="gramEnd"/>
      <w:r w:rsidR="000867F1" w:rsidRPr="000C1D9A">
        <w:rPr>
          <w:rFonts w:asciiTheme="minorHAnsi" w:hAnsiTheme="minorHAnsi" w:cstheme="minorHAnsi"/>
          <w:sz w:val="22"/>
          <w:szCs w:val="22"/>
        </w:rPr>
        <w:t xml:space="preserve"> and shelter to people unable to</w:t>
      </w:r>
      <w:r w:rsidR="006C7E77" w:rsidRPr="000C1D9A">
        <w:rPr>
          <w:rFonts w:asciiTheme="minorHAnsi" w:hAnsiTheme="minorHAnsi" w:cstheme="minorHAnsi"/>
          <w:sz w:val="22"/>
          <w:szCs w:val="22"/>
        </w:rPr>
        <w:t xml:space="preserve"> return to their homes due to the disaster. Disaster Relief Ltd does not restrict its relief only to people who are in poverty.</w:t>
      </w:r>
    </w:p>
    <w:p w14:paraId="6C5974FB" w14:textId="77777777" w:rsidR="00A95EDF" w:rsidRDefault="00A95EDF" w:rsidP="00696334">
      <w:pPr>
        <w:rPr>
          <w:rFonts w:asciiTheme="minorHAnsi" w:hAnsiTheme="minorHAnsi" w:cstheme="minorHAnsi"/>
          <w:sz w:val="22"/>
          <w:szCs w:val="22"/>
        </w:rPr>
      </w:pPr>
    </w:p>
    <w:p w14:paraId="0B3FCAAE" w14:textId="039212F7" w:rsidR="006C7E77" w:rsidRPr="00A95EDF" w:rsidRDefault="006C7E77" w:rsidP="00696334">
      <w:pPr>
        <w:rPr>
          <w:rFonts w:asciiTheme="minorHAnsi" w:hAnsiTheme="minorHAnsi" w:cstheme="minorHAnsi"/>
          <w:i/>
          <w:iCs/>
          <w:sz w:val="22"/>
          <w:szCs w:val="22"/>
        </w:rPr>
      </w:pPr>
      <w:r w:rsidRPr="00A95EDF">
        <w:rPr>
          <w:rFonts w:asciiTheme="minorHAnsi" w:hAnsiTheme="minorHAnsi" w:cstheme="minorHAnsi"/>
          <w:i/>
          <w:iCs/>
          <w:sz w:val="22"/>
          <w:szCs w:val="22"/>
        </w:rPr>
        <w:t xml:space="preserve">Disaster Relief Ltd is likely to be a PBI. Although </w:t>
      </w:r>
      <w:r w:rsidR="001431C1" w:rsidRPr="00A95EDF">
        <w:rPr>
          <w:rFonts w:asciiTheme="minorHAnsi" w:hAnsiTheme="minorHAnsi" w:cstheme="minorHAnsi"/>
          <w:i/>
          <w:iCs/>
          <w:sz w:val="22"/>
          <w:szCs w:val="22"/>
        </w:rPr>
        <w:t>some of its beneficiaries</w:t>
      </w:r>
      <w:r w:rsidR="00F44830" w:rsidRPr="00A95EDF">
        <w:rPr>
          <w:rFonts w:asciiTheme="minorHAnsi" w:hAnsiTheme="minorHAnsi" w:cstheme="minorHAnsi"/>
          <w:i/>
          <w:iCs/>
          <w:sz w:val="22"/>
          <w:szCs w:val="22"/>
        </w:rPr>
        <w:t xml:space="preserve"> would ordinarily</w:t>
      </w:r>
      <w:r w:rsidR="001431C1" w:rsidRPr="00A95EDF">
        <w:rPr>
          <w:rFonts w:asciiTheme="minorHAnsi" w:hAnsiTheme="minorHAnsi" w:cstheme="minorHAnsi"/>
          <w:i/>
          <w:iCs/>
          <w:sz w:val="22"/>
          <w:szCs w:val="22"/>
        </w:rPr>
        <w:t xml:space="preserve"> be able to afford to purchase the </w:t>
      </w:r>
      <w:r w:rsidR="00F44830" w:rsidRPr="00A95EDF">
        <w:rPr>
          <w:rFonts w:asciiTheme="minorHAnsi" w:hAnsiTheme="minorHAnsi" w:cstheme="minorHAnsi"/>
          <w:i/>
          <w:iCs/>
          <w:sz w:val="22"/>
          <w:szCs w:val="22"/>
        </w:rPr>
        <w:t xml:space="preserve">necessities that </w:t>
      </w:r>
      <w:r w:rsidR="004D545B" w:rsidRPr="00A95EDF">
        <w:rPr>
          <w:rFonts w:asciiTheme="minorHAnsi" w:hAnsiTheme="minorHAnsi" w:cstheme="minorHAnsi"/>
          <w:i/>
          <w:iCs/>
          <w:sz w:val="22"/>
          <w:szCs w:val="22"/>
        </w:rPr>
        <w:t>Disaster Relief Ltd</w:t>
      </w:r>
      <w:r w:rsidR="00F44830" w:rsidRPr="00A95EDF">
        <w:rPr>
          <w:rFonts w:asciiTheme="minorHAnsi" w:hAnsiTheme="minorHAnsi" w:cstheme="minorHAnsi"/>
          <w:i/>
          <w:iCs/>
          <w:sz w:val="22"/>
          <w:szCs w:val="22"/>
        </w:rPr>
        <w:t xml:space="preserve"> distributes, </w:t>
      </w:r>
      <w:r w:rsidR="00A15316" w:rsidRPr="00A95EDF">
        <w:rPr>
          <w:rFonts w:asciiTheme="minorHAnsi" w:hAnsiTheme="minorHAnsi" w:cstheme="minorHAnsi"/>
          <w:i/>
          <w:iCs/>
          <w:sz w:val="22"/>
          <w:szCs w:val="22"/>
        </w:rPr>
        <w:t>they</w:t>
      </w:r>
      <w:r w:rsidR="00E50E50" w:rsidRPr="00A95EDF">
        <w:rPr>
          <w:rFonts w:asciiTheme="minorHAnsi" w:hAnsiTheme="minorHAnsi" w:cstheme="minorHAnsi"/>
          <w:i/>
          <w:iCs/>
          <w:sz w:val="22"/>
          <w:szCs w:val="22"/>
        </w:rPr>
        <w:t xml:space="preserve"> would struggle to obtain these necessities </w:t>
      </w:r>
      <w:r w:rsidR="004A54E1" w:rsidRPr="00A95EDF">
        <w:rPr>
          <w:rFonts w:asciiTheme="minorHAnsi" w:hAnsiTheme="minorHAnsi" w:cstheme="minorHAnsi"/>
          <w:i/>
          <w:iCs/>
          <w:sz w:val="22"/>
          <w:szCs w:val="22"/>
        </w:rPr>
        <w:t xml:space="preserve">in the immediate aftermath of </w:t>
      </w:r>
      <w:r w:rsidR="00C55464">
        <w:rPr>
          <w:rFonts w:asciiTheme="minorHAnsi" w:hAnsiTheme="minorHAnsi" w:cstheme="minorHAnsi"/>
          <w:i/>
          <w:iCs/>
          <w:sz w:val="22"/>
          <w:szCs w:val="22"/>
        </w:rPr>
        <w:t>a</w:t>
      </w:r>
      <w:r w:rsidR="00C55464" w:rsidRPr="00A95EDF">
        <w:rPr>
          <w:rFonts w:asciiTheme="minorHAnsi" w:hAnsiTheme="minorHAnsi" w:cstheme="minorHAnsi"/>
          <w:i/>
          <w:iCs/>
          <w:sz w:val="22"/>
          <w:szCs w:val="22"/>
        </w:rPr>
        <w:t xml:space="preserve"> </w:t>
      </w:r>
      <w:r w:rsidR="004A54E1" w:rsidRPr="00A95EDF">
        <w:rPr>
          <w:rFonts w:asciiTheme="minorHAnsi" w:hAnsiTheme="minorHAnsi" w:cstheme="minorHAnsi"/>
          <w:i/>
          <w:iCs/>
          <w:sz w:val="22"/>
          <w:szCs w:val="22"/>
        </w:rPr>
        <w:t>disaster</w:t>
      </w:r>
      <w:r w:rsidR="00A15316" w:rsidRPr="00A95EDF">
        <w:rPr>
          <w:rFonts w:asciiTheme="minorHAnsi" w:hAnsiTheme="minorHAnsi" w:cstheme="minorHAnsi"/>
          <w:i/>
          <w:iCs/>
          <w:sz w:val="22"/>
          <w:szCs w:val="22"/>
        </w:rPr>
        <w:t xml:space="preserve">. </w:t>
      </w:r>
      <w:r w:rsidR="00C55464">
        <w:rPr>
          <w:rFonts w:asciiTheme="minorHAnsi" w:hAnsiTheme="minorHAnsi" w:cstheme="minorHAnsi"/>
          <w:i/>
          <w:iCs/>
          <w:sz w:val="22"/>
          <w:szCs w:val="22"/>
        </w:rPr>
        <w:t>T</w:t>
      </w:r>
      <w:r w:rsidR="00A15316" w:rsidRPr="00A95EDF">
        <w:rPr>
          <w:rFonts w:asciiTheme="minorHAnsi" w:hAnsiTheme="minorHAnsi" w:cstheme="minorHAnsi"/>
          <w:i/>
          <w:iCs/>
          <w:sz w:val="22"/>
          <w:szCs w:val="22"/>
        </w:rPr>
        <w:t>herefore</w:t>
      </w:r>
      <w:r w:rsidR="00C55464">
        <w:rPr>
          <w:rFonts w:asciiTheme="minorHAnsi" w:hAnsiTheme="minorHAnsi" w:cstheme="minorHAnsi"/>
          <w:i/>
          <w:iCs/>
          <w:sz w:val="22"/>
          <w:szCs w:val="22"/>
        </w:rPr>
        <w:t>, they</w:t>
      </w:r>
      <w:r w:rsidR="00A15316" w:rsidRPr="00A95EDF">
        <w:rPr>
          <w:rFonts w:asciiTheme="minorHAnsi" w:hAnsiTheme="minorHAnsi" w:cstheme="minorHAnsi"/>
          <w:i/>
          <w:iCs/>
          <w:sz w:val="22"/>
          <w:szCs w:val="22"/>
        </w:rPr>
        <w:t xml:space="preserve"> have needs that would arouse compassion </w:t>
      </w:r>
      <w:r w:rsidR="00A56DA2">
        <w:rPr>
          <w:rFonts w:asciiTheme="minorHAnsi" w:hAnsiTheme="minorHAnsi" w:cstheme="minorHAnsi"/>
          <w:i/>
          <w:iCs/>
          <w:sz w:val="22"/>
          <w:szCs w:val="22"/>
        </w:rPr>
        <w:t>within</w:t>
      </w:r>
      <w:r w:rsidR="00A56DA2" w:rsidRPr="00A95EDF">
        <w:rPr>
          <w:rFonts w:asciiTheme="minorHAnsi" w:hAnsiTheme="minorHAnsi" w:cstheme="minorHAnsi"/>
          <w:i/>
          <w:iCs/>
          <w:sz w:val="22"/>
          <w:szCs w:val="22"/>
        </w:rPr>
        <w:t xml:space="preserve"> </w:t>
      </w:r>
      <w:r w:rsidR="00A15316" w:rsidRPr="00A95EDF">
        <w:rPr>
          <w:rFonts w:asciiTheme="minorHAnsi" w:hAnsiTheme="minorHAnsi" w:cstheme="minorHAnsi"/>
          <w:i/>
          <w:iCs/>
          <w:sz w:val="22"/>
          <w:szCs w:val="22"/>
        </w:rPr>
        <w:t>the community.</w:t>
      </w:r>
      <w:r w:rsidR="00242704" w:rsidRPr="00A95EDF">
        <w:rPr>
          <w:rFonts w:asciiTheme="minorHAnsi" w:hAnsiTheme="minorHAnsi" w:cstheme="minorHAnsi"/>
          <w:i/>
          <w:iCs/>
          <w:sz w:val="22"/>
          <w:szCs w:val="22"/>
        </w:rPr>
        <w:t xml:space="preserve"> </w:t>
      </w:r>
      <w:r w:rsidR="003B243B">
        <w:rPr>
          <w:rFonts w:asciiTheme="minorHAnsi" w:hAnsiTheme="minorHAnsi" w:cstheme="minorHAnsi"/>
          <w:i/>
          <w:iCs/>
          <w:sz w:val="22"/>
          <w:szCs w:val="22"/>
        </w:rPr>
        <w:t>Refer to paragraphs 15 to 17 above for further detail.</w:t>
      </w:r>
    </w:p>
    <w:p w14:paraId="24BBD208" w14:textId="77777777" w:rsidR="00A95EDF" w:rsidRDefault="00A95EDF" w:rsidP="00696334">
      <w:pPr>
        <w:rPr>
          <w:rFonts w:asciiTheme="minorHAnsi" w:hAnsiTheme="minorHAnsi" w:cstheme="minorHAnsi"/>
          <w:sz w:val="22"/>
          <w:szCs w:val="22"/>
        </w:rPr>
      </w:pPr>
    </w:p>
    <w:p w14:paraId="338C2BC8" w14:textId="0BDFA883" w:rsidR="004A54E1" w:rsidRPr="00A95EDF" w:rsidRDefault="00095ED6" w:rsidP="00696334">
      <w:pPr>
        <w:rPr>
          <w:rFonts w:asciiTheme="minorHAnsi" w:hAnsiTheme="minorHAnsi" w:cstheme="minorHAnsi"/>
          <w:sz w:val="22"/>
          <w:szCs w:val="22"/>
          <w:u w:val="single"/>
        </w:rPr>
      </w:pPr>
      <w:r w:rsidRPr="00A95EDF">
        <w:rPr>
          <w:rFonts w:asciiTheme="minorHAnsi" w:hAnsiTheme="minorHAnsi" w:cstheme="minorHAnsi"/>
          <w:sz w:val="22"/>
          <w:szCs w:val="22"/>
          <w:u w:val="single"/>
        </w:rPr>
        <w:t xml:space="preserve">Example </w:t>
      </w:r>
      <w:r w:rsidR="0053749B">
        <w:rPr>
          <w:rFonts w:asciiTheme="minorHAnsi" w:hAnsiTheme="minorHAnsi" w:cstheme="minorHAnsi"/>
          <w:sz w:val="22"/>
          <w:szCs w:val="22"/>
          <w:u w:val="single"/>
        </w:rPr>
        <w:t>9</w:t>
      </w:r>
    </w:p>
    <w:p w14:paraId="32CA635D" w14:textId="77777777" w:rsidR="00A95EDF" w:rsidRDefault="00A95EDF" w:rsidP="00696334">
      <w:pPr>
        <w:rPr>
          <w:rFonts w:asciiTheme="minorHAnsi" w:hAnsiTheme="minorHAnsi" w:cstheme="minorHAnsi"/>
          <w:sz w:val="22"/>
          <w:szCs w:val="22"/>
        </w:rPr>
      </w:pPr>
    </w:p>
    <w:p w14:paraId="577BFF48" w14:textId="0237B4F0" w:rsidR="004A54E1" w:rsidRPr="000C1D9A" w:rsidRDefault="004B0B96" w:rsidP="00696334">
      <w:pPr>
        <w:rPr>
          <w:rFonts w:asciiTheme="minorHAnsi" w:hAnsiTheme="minorHAnsi" w:cstheme="minorHAnsi"/>
          <w:sz w:val="22"/>
          <w:szCs w:val="22"/>
        </w:rPr>
      </w:pPr>
      <w:r w:rsidRPr="000C1D9A">
        <w:rPr>
          <w:rFonts w:asciiTheme="minorHAnsi" w:hAnsiTheme="minorHAnsi" w:cstheme="minorHAnsi"/>
          <w:sz w:val="22"/>
          <w:szCs w:val="22"/>
        </w:rPr>
        <w:t xml:space="preserve">Cancer Response Inc has </w:t>
      </w:r>
      <w:r w:rsidR="00E75BD5">
        <w:rPr>
          <w:rFonts w:asciiTheme="minorHAnsi" w:hAnsiTheme="minorHAnsi" w:cstheme="minorHAnsi"/>
          <w:sz w:val="22"/>
          <w:szCs w:val="22"/>
        </w:rPr>
        <w:t xml:space="preserve">an </w:t>
      </w:r>
      <w:r w:rsidRPr="000C1D9A">
        <w:rPr>
          <w:rFonts w:asciiTheme="minorHAnsi" w:hAnsiTheme="minorHAnsi" w:cstheme="minorHAnsi"/>
          <w:sz w:val="22"/>
          <w:szCs w:val="22"/>
        </w:rPr>
        <w:t>object of assisting members of</w:t>
      </w:r>
      <w:r w:rsidR="00712B8B" w:rsidRPr="000C1D9A">
        <w:rPr>
          <w:rFonts w:asciiTheme="minorHAnsi" w:hAnsiTheme="minorHAnsi" w:cstheme="minorHAnsi"/>
          <w:sz w:val="22"/>
          <w:szCs w:val="22"/>
        </w:rPr>
        <w:t xml:space="preserve"> </w:t>
      </w:r>
      <w:r w:rsidR="006D4294" w:rsidRPr="000C1D9A">
        <w:rPr>
          <w:rFonts w:asciiTheme="minorHAnsi" w:hAnsiTheme="minorHAnsi" w:cstheme="minorHAnsi"/>
          <w:sz w:val="22"/>
          <w:szCs w:val="22"/>
        </w:rPr>
        <w:t xml:space="preserve">a community organisation </w:t>
      </w:r>
      <w:r w:rsidR="00521D30" w:rsidRPr="000C1D9A">
        <w:rPr>
          <w:rFonts w:asciiTheme="minorHAnsi" w:hAnsiTheme="minorHAnsi" w:cstheme="minorHAnsi"/>
          <w:sz w:val="22"/>
          <w:szCs w:val="22"/>
        </w:rPr>
        <w:t>who are going through cancer treatment</w:t>
      </w:r>
      <w:r w:rsidR="00F063AB" w:rsidRPr="000C1D9A">
        <w:rPr>
          <w:rFonts w:asciiTheme="minorHAnsi" w:hAnsiTheme="minorHAnsi" w:cstheme="minorHAnsi"/>
          <w:sz w:val="22"/>
          <w:szCs w:val="22"/>
        </w:rPr>
        <w:t xml:space="preserve"> by providing them with </w:t>
      </w:r>
      <w:r w:rsidR="009D2A89" w:rsidRPr="000C1D9A">
        <w:rPr>
          <w:rFonts w:asciiTheme="minorHAnsi" w:hAnsiTheme="minorHAnsi" w:cstheme="minorHAnsi"/>
          <w:sz w:val="22"/>
          <w:szCs w:val="22"/>
        </w:rPr>
        <w:t>complementary therapies</w:t>
      </w:r>
      <w:r w:rsidR="00521D30" w:rsidRPr="000C1D9A">
        <w:rPr>
          <w:rFonts w:asciiTheme="minorHAnsi" w:hAnsiTheme="minorHAnsi" w:cstheme="minorHAnsi"/>
          <w:sz w:val="22"/>
          <w:szCs w:val="22"/>
        </w:rPr>
        <w:t xml:space="preserve">. </w:t>
      </w:r>
      <w:r w:rsidR="00285F51" w:rsidRPr="000C1D9A">
        <w:rPr>
          <w:rFonts w:asciiTheme="minorHAnsi" w:hAnsiTheme="minorHAnsi" w:cstheme="minorHAnsi"/>
          <w:sz w:val="22"/>
          <w:szCs w:val="22"/>
        </w:rPr>
        <w:t xml:space="preserve">To become a member of the community organisation, a </w:t>
      </w:r>
      <w:r w:rsidR="00460602">
        <w:rPr>
          <w:rFonts w:asciiTheme="minorHAnsi" w:hAnsiTheme="minorHAnsi" w:cstheme="minorHAnsi"/>
          <w:sz w:val="22"/>
          <w:szCs w:val="22"/>
        </w:rPr>
        <w:t>person</w:t>
      </w:r>
      <w:r w:rsidR="00285F51" w:rsidRPr="000C1D9A">
        <w:rPr>
          <w:rFonts w:asciiTheme="minorHAnsi" w:hAnsiTheme="minorHAnsi" w:cstheme="minorHAnsi"/>
          <w:sz w:val="22"/>
          <w:szCs w:val="22"/>
        </w:rPr>
        <w:t xml:space="preserve"> must apply and have their application supported by two existing members. The </w:t>
      </w:r>
      <w:r w:rsidR="000B00BE" w:rsidRPr="000C1D9A">
        <w:rPr>
          <w:rFonts w:asciiTheme="minorHAnsi" w:hAnsiTheme="minorHAnsi" w:cstheme="minorHAnsi"/>
          <w:sz w:val="22"/>
          <w:szCs w:val="22"/>
        </w:rPr>
        <w:t>committee of the community organisation can approve or reject an application for membership without giving reasons</w:t>
      </w:r>
      <w:r w:rsidR="00460602">
        <w:rPr>
          <w:rFonts w:asciiTheme="minorHAnsi" w:hAnsiTheme="minorHAnsi" w:cstheme="minorHAnsi"/>
          <w:sz w:val="22"/>
          <w:szCs w:val="22"/>
        </w:rPr>
        <w:t>.</w:t>
      </w:r>
    </w:p>
    <w:p w14:paraId="15DCF580" w14:textId="77777777" w:rsidR="00A95EDF" w:rsidRDefault="00A95EDF" w:rsidP="00696334">
      <w:pPr>
        <w:rPr>
          <w:rFonts w:asciiTheme="minorHAnsi" w:hAnsiTheme="minorHAnsi" w:cstheme="minorHAnsi"/>
          <w:sz w:val="22"/>
          <w:szCs w:val="22"/>
        </w:rPr>
      </w:pPr>
    </w:p>
    <w:p w14:paraId="30221043" w14:textId="43A43046" w:rsidR="009D2A89" w:rsidRPr="00A95EDF" w:rsidRDefault="009D2A89" w:rsidP="00696334">
      <w:pPr>
        <w:rPr>
          <w:rFonts w:asciiTheme="minorHAnsi" w:hAnsiTheme="minorHAnsi" w:cstheme="minorHAnsi"/>
          <w:i/>
          <w:iCs/>
          <w:sz w:val="22"/>
          <w:szCs w:val="22"/>
        </w:rPr>
      </w:pPr>
      <w:r w:rsidRPr="00A95EDF">
        <w:rPr>
          <w:rFonts w:asciiTheme="minorHAnsi" w:hAnsiTheme="minorHAnsi" w:cstheme="minorHAnsi"/>
          <w:i/>
          <w:iCs/>
          <w:sz w:val="22"/>
          <w:szCs w:val="22"/>
        </w:rPr>
        <w:t>Cancer Response Inc is not a PBI</w:t>
      </w:r>
      <w:r w:rsidR="00D72A3D" w:rsidRPr="00A95EDF">
        <w:rPr>
          <w:rFonts w:asciiTheme="minorHAnsi" w:hAnsiTheme="minorHAnsi" w:cstheme="minorHAnsi"/>
          <w:i/>
          <w:iCs/>
          <w:sz w:val="22"/>
          <w:szCs w:val="22"/>
        </w:rPr>
        <w:t xml:space="preserve"> because it is not ‘public.’ Although it has a</w:t>
      </w:r>
      <w:r w:rsidR="00BF38D1">
        <w:rPr>
          <w:rFonts w:asciiTheme="minorHAnsi" w:hAnsiTheme="minorHAnsi" w:cstheme="minorHAnsi"/>
          <w:i/>
          <w:iCs/>
          <w:sz w:val="22"/>
          <w:szCs w:val="22"/>
        </w:rPr>
        <w:t xml:space="preserve"> purpose of</w:t>
      </w:r>
      <w:r w:rsidR="00D72A3D" w:rsidRPr="00A95EDF">
        <w:rPr>
          <w:rFonts w:asciiTheme="minorHAnsi" w:hAnsiTheme="minorHAnsi" w:cstheme="minorHAnsi"/>
          <w:i/>
          <w:iCs/>
          <w:sz w:val="22"/>
          <w:szCs w:val="22"/>
        </w:rPr>
        <w:t xml:space="preserve"> benevolent relief, it does not </w:t>
      </w:r>
      <w:r w:rsidR="006809CD" w:rsidRPr="00A95EDF">
        <w:rPr>
          <w:rFonts w:asciiTheme="minorHAnsi" w:hAnsiTheme="minorHAnsi" w:cstheme="minorHAnsi"/>
          <w:i/>
          <w:iCs/>
          <w:sz w:val="22"/>
          <w:szCs w:val="22"/>
        </w:rPr>
        <w:t>provide relief to an appreciable section of the community. It provides relief to a private group of individuals</w:t>
      </w:r>
      <w:r w:rsidR="00BF38D1">
        <w:rPr>
          <w:rFonts w:asciiTheme="minorHAnsi" w:hAnsiTheme="minorHAnsi" w:cstheme="minorHAnsi"/>
          <w:i/>
          <w:iCs/>
          <w:sz w:val="22"/>
          <w:szCs w:val="22"/>
        </w:rPr>
        <w:t>:</w:t>
      </w:r>
      <w:r w:rsidR="006809CD" w:rsidRPr="00A95EDF">
        <w:rPr>
          <w:rFonts w:asciiTheme="minorHAnsi" w:hAnsiTheme="minorHAnsi" w:cstheme="minorHAnsi"/>
          <w:i/>
          <w:iCs/>
          <w:sz w:val="22"/>
          <w:szCs w:val="22"/>
        </w:rPr>
        <w:t xml:space="preserve"> the members of the community organisation.</w:t>
      </w:r>
      <w:r w:rsidR="00E32D45">
        <w:rPr>
          <w:rFonts w:asciiTheme="minorHAnsi" w:hAnsiTheme="minorHAnsi" w:cstheme="minorHAnsi"/>
          <w:i/>
          <w:iCs/>
          <w:sz w:val="22"/>
          <w:szCs w:val="22"/>
        </w:rPr>
        <w:t xml:space="preserve"> </w:t>
      </w:r>
      <w:r w:rsidR="007C4F6F">
        <w:rPr>
          <w:rFonts w:asciiTheme="minorHAnsi" w:hAnsiTheme="minorHAnsi" w:cstheme="minorHAnsi"/>
          <w:i/>
          <w:iCs/>
          <w:sz w:val="22"/>
          <w:szCs w:val="22"/>
        </w:rPr>
        <w:t>Refer to</w:t>
      </w:r>
      <w:r w:rsidR="00E32D45">
        <w:rPr>
          <w:rFonts w:asciiTheme="minorHAnsi" w:hAnsiTheme="minorHAnsi" w:cstheme="minorHAnsi"/>
          <w:i/>
          <w:iCs/>
          <w:sz w:val="22"/>
          <w:szCs w:val="22"/>
        </w:rPr>
        <w:t xml:space="preserve"> paragraphs</w:t>
      </w:r>
      <w:r w:rsidR="007C4F6F">
        <w:rPr>
          <w:rFonts w:asciiTheme="minorHAnsi" w:hAnsiTheme="minorHAnsi" w:cstheme="minorHAnsi"/>
          <w:i/>
          <w:iCs/>
          <w:sz w:val="22"/>
          <w:szCs w:val="22"/>
        </w:rPr>
        <w:t xml:space="preserve"> 41 to 46 above for further detail. See also </w:t>
      </w:r>
      <w:r w:rsidR="00293B78" w:rsidRPr="00293B78">
        <w:rPr>
          <w:rFonts w:asciiTheme="minorHAnsi" w:hAnsiTheme="minorHAnsi" w:cstheme="minorHAnsi"/>
          <w:i/>
          <w:iCs/>
          <w:sz w:val="22"/>
          <w:szCs w:val="22"/>
        </w:rPr>
        <w:t>Re Income Tax Acts No. 1 [1930] VLR 211</w:t>
      </w:r>
      <w:r w:rsidR="00293B78">
        <w:rPr>
          <w:rFonts w:asciiTheme="minorHAnsi" w:hAnsiTheme="minorHAnsi" w:cstheme="minorHAnsi"/>
          <w:i/>
          <w:iCs/>
          <w:sz w:val="22"/>
          <w:szCs w:val="22"/>
        </w:rPr>
        <w:t>.</w:t>
      </w:r>
    </w:p>
    <w:p w14:paraId="3477F307" w14:textId="77777777" w:rsidR="00F74C76" w:rsidRDefault="00F74C76" w:rsidP="00F74C76">
      <w:pPr>
        <w:rPr>
          <w:rFonts w:asciiTheme="minorHAnsi" w:hAnsiTheme="minorHAnsi" w:cstheme="minorHAnsi"/>
          <w:sz w:val="22"/>
          <w:szCs w:val="22"/>
          <w:u w:val="single"/>
        </w:rPr>
      </w:pPr>
    </w:p>
    <w:p w14:paraId="048AB628" w14:textId="4AD68C37" w:rsidR="000B00BE" w:rsidRDefault="00F74C76" w:rsidP="00F74C76">
      <w:pPr>
        <w:rPr>
          <w:rFonts w:asciiTheme="minorHAnsi" w:hAnsiTheme="minorHAnsi" w:cstheme="minorHAnsi"/>
          <w:sz w:val="22"/>
          <w:szCs w:val="22"/>
          <w:u w:val="single"/>
        </w:rPr>
      </w:pPr>
      <w:r w:rsidRPr="003F63CB">
        <w:rPr>
          <w:rFonts w:asciiTheme="minorHAnsi" w:hAnsiTheme="minorHAnsi" w:cstheme="minorHAnsi"/>
          <w:sz w:val="22"/>
          <w:szCs w:val="22"/>
          <w:u w:val="single"/>
        </w:rPr>
        <w:t>Example 1</w:t>
      </w:r>
      <w:r w:rsidR="0053749B">
        <w:rPr>
          <w:rFonts w:asciiTheme="minorHAnsi" w:hAnsiTheme="minorHAnsi" w:cstheme="minorHAnsi"/>
          <w:sz w:val="22"/>
          <w:szCs w:val="22"/>
          <w:u w:val="single"/>
        </w:rPr>
        <w:t>0</w:t>
      </w:r>
    </w:p>
    <w:p w14:paraId="5A3DFD32" w14:textId="56AC4E12" w:rsidR="00F74C76" w:rsidRDefault="00F74C76" w:rsidP="00F74C76">
      <w:pPr>
        <w:rPr>
          <w:rFonts w:asciiTheme="minorHAnsi" w:hAnsiTheme="minorHAnsi" w:cstheme="minorHAnsi"/>
          <w:sz w:val="22"/>
          <w:szCs w:val="22"/>
          <w:u w:val="single"/>
        </w:rPr>
      </w:pPr>
    </w:p>
    <w:p w14:paraId="31AFC1F7" w14:textId="3F64D4B9" w:rsidR="00095ED6" w:rsidRDefault="00936A5B" w:rsidP="00D80F8C">
      <w:pPr>
        <w:spacing w:before="120" w:after="120" w:line="276" w:lineRule="auto"/>
        <w:textAlignment w:val="baseline"/>
        <w:rPr>
          <w:rFonts w:asciiTheme="minorHAnsi" w:hAnsiTheme="minorHAnsi" w:cstheme="minorHAnsi"/>
          <w:iCs/>
          <w:sz w:val="22"/>
          <w:szCs w:val="22"/>
        </w:rPr>
      </w:pPr>
      <w:r>
        <w:rPr>
          <w:rFonts w:asciiTheme="minorHAnsi" w:hAnsiTheme="minorHAnsi" w:cstheme="minorHAnsi"/>
          <w:iCs/>
          <w:sz w:val="22"/>
          <w:szCs w:val="22"/>
        </w:rPr>
        <w:t xml:space="preserve">Law Action Now Inc has </w:t>
      </w:r>
      <w:r w:rsidR="00E75BD5">
        <w:rPr>
          <w:rFonts w:asciiTheme="minorHAnsi" w:hAnsiTheme="minorHAnsi" w:cstheme="minorHAnsi"/>
          <w:iCs/>
          <w:sz w:val="22"/>
          <w:szCs w:val="22"/>
        </w:rPr>
        <w:t xml:space="preserve">an </w:t>
      </w:r>
      <w:r>
        <w:rPr>
          <w:rFonts w:asciiTheme="minorHAnsi" w:hAnsiTheme="minorHAnsi" w:cstheme="minorHAnsi"/>
          <w:iCs/>
          <w:sz w:val="22"/>
          <w:szCs w:val="22"/>
        </w:rPr>
        <w:t xml:space="preserve">object of </w:t>
      </w:r>
      <w:r w:rsidR="005D0B10">
        <w:rPr>
          <w:rFonts w:asciiTheme="minorHAnsi" w:hAnsiTheme="minorHAnsi" w:cstheme="minorHAnsi"/>
          <w:iCs/>
          <w:sz w:val="22"/>
          <w:szCs w:val="22"/>
        </w:rPr>
        <w:t>relieving the distress of people subject to workplace discrimination. It achieves its</w:t>
      </w:r>
      <w:r w:rsidR="00900F6F">
        <w:rPr>
          <w:rFonts w:asciiTheme="minorHAnsi" w:hAnsiTheme="minorHAnsi" w:cstheme="minorHAnsi"/>
          <w:iCs/>
          <w:sz w:val="22"/>
          <w:szCs w:val="22"/>
        </w:rPr>
        <w:t xml:space="preserve"> object by </w:t>
      </w:r>
      <w:r w:rsidR="003836B0">
        <w:rPr>
          <w:rFonts w:asciiTheme="minorHAnsi" w:hAnsiTheme="minorHAnsi" w:cstheme="minorHAnsi"/>
          <w:iCs/>
          <w:sz w:val="22"/>
          <w:szCs w:val="22"/>
        </w:rPr>
        <w:t xml:space="preserve">lobbying governments to change workplace relations </w:t>
      </w:r>
      <w:r w:rsidR="00C42910">
        <w:rPr>
          <w:rFonts w:asciiTheme="minorHAnsi" w:hAnsiTheme="minorHAnsi" w:cstheme="minorHAnsi"/>
          <w:iCs/>
          <w:sz w:val="22"/>
          <w:szCs w:val="22"/>
        </w:rPr>
        <w:t>laws so that they provide greater protection against workplace discrimination.</w:t>
      </w:r>
    </w:p>
    <w:p w14:paraId="7F1D971A" w14:textId="42061EF8" w:rsidR="00F74C76" w:rsidRPr="00095ED6" w:rsidRDefault="0047129F" w:rsidP="00D80F8C">
      <w:pPr>
        <w:spacing w:before="120" w:after="120" w:line="276" w:lineRule="auto"/>
        <w:textAlignment w:val="baseline"/>
        <w:rPr>
          <w:rFonts w:asciiTheme="minorHAnsi" w:hAnsiTheme="minorHAnsi" w:cstheme="minorHAnsi"/>
          <w:iCs/>
          <w:sz w:val="22"/>
          <w:szCs w:val="22"/>
        </w:rPr>
      </w:pPr>
      <w:r>
        <w:rPr>
          <w:rFonts w:asciiTheme="minorHAnsi" w:hAnsiTheme="minorHAnsi" w:cstheme="minorHAnsi"/>
          <w:i/>
          <w:sz w:val="22"/>
          <w:szCs w:val="22"/>
        </w:rPr>
        <w:t>Although Law Action Now Inc is a charity, i</w:t>
      </w:r>
      <w:r w:rsidR="00C42910" w:rsidRPr="003F63CB">
        <w:rPr>
          <w:rFonts w:asciiTheme="minorHAnsi" w:hAnsiTheme="minorHAnsi" w:cstheme="minorHAnsi"/>
          <w:i/>
          <w:sz w:val="22"/>
          <w:szCs w:val="22"/>
        </w:rPr>
        <w:t xml:space="preserve">t is unlikely </w:t>
      </w:r>
      <w:r w:rsidR="000E1AEF">
        <w:rPr>
          <w:rFonts w:asciiTheme="minorHAnsi" w:hAnsiTheme="minorHAnsi" w:cstheme="minorHAnsi"/>
          <w:i/>
          <w:sz w:val="22"/>
          <w:szCs w:val="22"/>
        </w:rPr>
        <w:t>to be</w:t>
      </w:r>
      <w:r w:rsidR="00C42910" w:rsidRPr="003F63CB">
        <w:rPr>
          <w:rFonts w:asciiTheme="minorHAnsi" w:hAnsiTheme="minorHAnsi" w:cstheme="minorHAnsi"/>
          <w:i/>
          <w:sz w:val="22"/>
          <w:szCs w:val="22"/>
        </w:rPr>
        <w:t xml:space="preserve"> a PBI. </w:t>
      </w:r>
      <w:r w:rsidR="003F63CB">
        <w:rPr>
          <w:rFonts w:asciiTheme="minorHAnsi" w:hAnsiTheme="minorHAnsi" w:cstheme="minorHAnsi"/>
          <w:i/>
          <w:sz w:val="22"/>
          <w:szCs w:val="22"/>
        </w:rPr>
        <w:t>Law Action Now Inc</w:t>
      </w:r>
      <w:r w:rsidR="00C42910" w:rsidRPr="003F63CB">
        <w:rPr>
          <w:rFonts w:asciiTheme="minorHAnsi" w:hAnsiTheme="minorHAnsi" w:cstheme="minorHAnsi"/>
          <w:i/>
          <w:sz w:val="22"/>
          <w:szCs w:val="22"/>
        </w:rPr>
        <w:t xml:space="preserve"> has an object of relieving distress of people whose condition would arouse compassion </w:t>
      </w:r>
      <w:r w:rsidR="00AC6BFF">
        <w:rPr>
          <w:rFonts w:asciiTheme="minorHAnsi" w:hAnsiTheme="minorHAnsi" w:cstheme="minorHAnsi"/>
          <w:i/>
          <w:sz w:val="22"/>
          <w:szCs w:val="22"/>
        </w:rPr>
        <w:t>with</w:t>
      </w:r>
      <w:r w:rsidR="00C42910" w:rsidRPr="003F63CB">
        <w:rPr>
          <w:rFonts w:asciiTheme="minorHAnsi" w:hAnsiTheme="minorHAnsi" w:cstheme="minorHAnsi"/>
          <w:i/>
          <w:sz w:val="22"/>
          <w:szCs w:val="22"/>
        </w:rPr>
        <w:t xml:space="preserve">in the community, </w:t>
      </w:r>
      <w:r w:rsidR="00F43AC3">
        <w:rPr>
          <w:rFonts w:asciiTheme="minorHAnsi" w:hAnsiTheme="minorHAnsi" w:cstheme="minorHAnsi"/>
          <w:i/>
          <w:sz w:val="22"/>
          <w:szCs w:val="22"/>
        </w:rPr>
        <w:t xml:space="preserve">but </w:t>
      </w:r>
      <w:r w:rsidR="00C42910" w:rsidRPr="003F63CB">
        <w:rPr>
          <w:rFonts w:asciiTheme="minorHAnsi" w:hAnsiTheme="minorHAnsi" w:cstheme="minorHAnsi"/>
          <w:i/>
          <w:sz w:val="22"/>
          <w:szCs w:val="22"/>
        </w:rPr>
        <w:t xml:space="preserve">the </w:t>
      </w:r>
      <w:r w:rsidR="00B70B9F">
        <w:rPr>
          <w:rFonts w:asciiTheme="minorHAnsi" w:hAnsiTheme="minorHAnsi" w:cstheme="minorHAnsi"/>
          <w:i/>
          <w:sz w:val="22"/>
          <w:szCs w:val="22"/>
        </w:rPr>
        <w:t xml:space="preserve">way it does </w:t>
      </w:r>
      <w:r w:rsidR="00C42910" w:rsidRPr="003F63CB">
        <w:rPr>
          <w:rFonts w:asciiTheme="minorHAnsi" w:hAnsiTheme="minorHAnsi" w:cstheme="minorHAnsi"/>
          <w:i/>
          <w:sz w:val="22"/>
          <w:szCs w:val="22"/>
        </w:rPr>
        <w:t xml:space="preserve">so is </w:t>
      </w:r>
      <w:proofErr w:type="gramStart"/>
      <w:r w:rsidR="00C42910" w:rsidRPr="003F63CB">
        <w:rPr>
          <w:rFonts w:asciiTheme="minorHAnsi" w:hAnsiTheme="minorHAnsi" w:cstheme="minorHAnsi"/>
          <w:i/>
          <w:sz w:val="22"/>
          <w:szCs w:val="22"/>
        </w:rPr>
        <w:t>abstract</w:t>
      </w:r>
      <w:r w:rsidR="0057617A" w:rsidRPr="003F63CB">
        <w:rPr>
          <w:rFonts w:asciiTheme="minorHAnsi" w:hAnsiTheme="minorHAnsi" w:cstheme="minorHAnsi"/>
          <w:i/>
          <w:sz w:val="22"/>
          <w:szCs w:val="22"/>
        </w:rPr>
        <w:t xml:space="preserve"> –attempting</w:t>
      </w:r>
      <w:proofErr w:type="gramEnd"/>
      <w:r w:rsidR="0057617A" w:rsidRPr="003F63CB">
        <w:rPr>
          <w:rFonts w:asciiTheme="minorHAnsi" w:hAnsiTheme="minorHAnsi" w:cstheme="minorHAnsi"/>
          <w:i/>
          <w:sz w:val="22"/>
          <w:szCs w:val="22"/>
        </w:rPr>
        <w:t xml:space="preserve"> to convince governments to </w:t>
      </w:r>
      <w:r w:rsidR="009B3D09" w:rsidRPr="003F63CB">
        <w:rPr>
          <w:rFonts w:asciiTheme="minorHAnsi" w:hAnsiTheme="minorHAnsi" w:cstheme="minorHAnsi"/>
          <w:i/>
          <w:sz w:val="22"/>
          <w:szCs w:val="22"/>
        </w:rPr>
        <w:t>amend laws in a way that the charity believes will</w:t>
      </w:r>
      <w:r w:rsidR="002A1061">
        <w:rPr>
          <w:rFonts w:asciiTheme="minorHAnsi" w:hAnsiTheme="minorHAnsi" w:cstheme="minorHAnsi"/>
          <w:i/>
          <w:sz w:val="22"/>
          <w:szCs w:val="22"/>
        </w:rPr>
        <w:t xml:space="preserve"> lead to</w:t>
      </w:r>
      <w:r w:rsidR="009B3D09" w:rsidRPr="003F63CB">
        <w:rPr>
          <w:rFonts w:asciiTheme="minorHAnsi" w:hAnsiTheme="minorHAnsi" w:cstheme="minorHAnsi"/>
          <w:i/>
          <w:sz w:val="22"/>
          <w:szCs w:val="22"/>
        </w:rPr>
        <w:t xml:space="preserve"> relief</w:t>
      </w:r>
      <w:r w:rsidR="002A1061">
        <w:rPr>
          <w:rFonts w:asciiTheme="minorHAnsi" w:hAnsiTheme="minorHAnsi" w:cstheme="minorHAnsi"/>
          <w:i/>
          <w:sz w:val="22"/>
          <w:szCs w:val="22"/>
        </w:rPr>
        <w:t xml:space="preserve"> if they are enacted</w:t>
      </w:r>
      <w:r w:rsidR="009B3D09" w:rsidRPr="003F63CB">
        <w:rPr>
          <w:rFonts w:asciiTheme="minorHAnsi" w:hAnsiTheme="minorHAnsi" w:cstheme="minorHAnsi"/>
          <w:i/>
          <w:sz w:val="22"/>
          <w:szCs w:val="22"/>
        </w:rPr>
        <w:t>.</w:t>
      </w:r>
      <w:r w:rsidR="002A1061">
        <w:rPr>
          <w:rFonts w:asciiTheme="minorHAnsi" w:hAnsiTheme="minorHAnsi" w:cstheme="minorHAnsi"/>
          <w:i/>
          <w:sz w:val="22"/>
          <w:szCs w:val="22"/>
        </w:rPr>
        <w:t xml:space="preserve"> </w:t>
      </w:r>
      <w:r w:rsidR="00E32D45" w:rsidRPr="00E32D45">
        <w:rPr>
          <w:rFonts w:asciiTheme="minorHAnsi" w:hAnsiTheme="minorHAnsi" w:cstheme="minorHAnsi"/>
          <w:i/>
          <w:sz w:val="22"/>
          <w:szCs w:val="22"/>
        </w:rPr>
        <w:t>Refer to paragraphs 18 to 22 above for more detail. See also Global Citizen Limited v Commissioner of the Australian Charities and Not-for-profits Commission [2021] AATA 3313 [98] (McCabe DP; O’Connell SM) and Australians for Indigenous Constitutional Recognition Ltd v Commissioner of the Australian Charities and Not-for-profits Commission [2021] FCA 435.</w:t>
      </w:r>
    </w:p>
    <w:p w14:paraId="00E76019" w14:textId="65078ABE" w:rsidR="006423DA" w:rsidRPr="00DD6227" w:rsidRDefault="006423DA" w:rsidP="00B33D82">
      <w:pPr>
        <w:spacing w:before="120" w:after="120" w:line="276" w:lineRule="auto"/>
        <w:textAlignment w:val="baseline"/>
        <w:rPr>
          <w:rFonts w:asciiTheme="minorHAnsi" w:eastAsiaTheme="minorEastAsia" w:hAnsiTheme="minorHAnsi" w:cstheme="minorHAnsi"/>
          <w:color w:val="2F5496"/>
          <w:sz w:val="28"/>
          <w:szCs w:val="28"/>
          <w:lang w:val="en-AU" w:eastAsia="en-US"/>
        </w:rPr>
      </w:pPr>
      <w:r w:rsidRPr="00DD6227">
        <w:rPr>
          <w:rFonts w:asciiTheme="minorHAnsi" w:eastAsiaTheme="minorEastAsia" w:hAnsiTheme="minorHAnsi" w:cstheme="minorHAnsi"/>
          <w:color w:val="2F5496"/>
          <w:sz w:val="28"/>
          <w:szCs w:val="28"/>
          <w:lang w:val="en-US" w:eastAsia="en-US"/>
        </w:rPr>
        <w:t>Version Control</w:t>
      </w:r>
      <w:r w:rsidRPr="00DD6227">
        <w:rPr>
          <w:rFonts w:asciiTheme="minorHAnsi" w:eastAsiaTheme="minorEastAsia" w:hAnsiTheme="minorHAnsi" w:cstheme="minorHAnsi"/>
          <w:color w:val="2F5496"/>
          <w:sz w:val="28"/>
          <w:szCs w:val="28"/>
          <w:lang w:val="en-AU" w:eastAsia="en-US"/>
        </w:rPr>
        <w: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0" w:type="dxa"/>
        </w:tblCellMar>
        <w:tblLook w:val="04A0" w:firstRow="1" w:lastRow="0" w:firstColumn="1" w:lastColumn="0" w:noHBand="0" w:noVBand="1"/>
      </w:tblPr>
      <w:tblGrid>
        <w:gridCol w:w="3410"/>
        <w:gridCol w:w="1810"/>
        <w:gridCol w:w="4556"/>
      </w:tblGrid>
      <w:tr w:rsidR="006423DA" w:rsidRPr="00DD6227" w14:paraId="461035C0" w14:textId="77777777" w:rsidTr="00AE52ED">
        <w:tc>
          <w:tcPr>
            <w:tcW w:w="3410" w:type="dxa"/>
            <w:shd w:val="clear" w:color="auto" w:fill="auto"/>
            <w:hideMark/>
          </w:tcPr>
          <w:p w14:paraId="475E5BD9" w14:textId="77777777" w:rsidR="006423DA" w:rsidRPr="00DD6227" w:rsidRDefault="006423DA" w:rsidP="00AE52ED">
            <w:pPr>
              <w:spacing w:before="120" w:after="120" w:line="276" w:lineRule="auto"/>
              <w:textAlignment w:val="baseline"/>
              <w:rPr>
                <w:rFonts w:asciiTheme="minorHAnsi" w:eastAsiaTheme="minorEastAsia" w:hAnsiTheme="minorHAnsi" w:cstheme="minorHAnsi"/>
                <w:sz w:val="22"/>
                <w:szCs w:val="22"/>
                <w:lang w:val="en-AU" w:eastAsia="en-US"/>
              </w:rPr>
            </w:pPr>
            <w:r w:rsidRPr="00DD6227">
              <w:rPr>
                <w:rFonts w:asciiTheme="minorHAnsi" w:eastAsiaTheme="minorEastAsia" w:hAnsiTheme="minorHAnsi" w:cstheme="minorHAnsi"/>
                <w:sz w:val="22"/>
                <w:szCs w:val="22"/>
                <w:lang w:val="en-US" w:eastAsia="en-US"/>
              </w:rPr>
              <w:t>Version</w:t>
            </w:r>
            <w:r w:rsidRPr="00DD6227">
              <w:rPr>
                <w:rFonts w:asciiTheme="minorHAnsi" w:eastAsiaTheme="minorEastAsia" w:hAnsiTheme="minorHAnsi" w:cstheme="minorHAnsi"/>
                <w:sz w:val="22"/>
                <w:szCs w:val="22"/>
                <w:lang w:val="en-AU" w:eastAsia="en-US"/>
              </w:rPr>
              <w:t> </w:t>
            </w:r>
          </w:p>
        </w:tc>
        <w:tc>
          <w:tcPr>
            <w:tcW w:w="1810" w:type="dxa"/>
            <w:shd w:val="clear" w:color="auto" w:fill="auto"/>
            <w:hideMark/>
          </w:tcPr>
          <w:p w14:paraId="09F67997" w14:textId="77777777" w:rsidR="006423DA" w:rsidRPr="00DD6227" w:rsidRDefault="006423DA" w:rsidP="00AE52ED">
            <w:pPr>
              <w:spacing w:before="120" w:after="120" w:line="276" w:lineRule="auto"/>
              <w:textAlignment w:val="baseline"/>
              <w:rPr>
                <w:rFonts w:asciiTheme="minorHAnsi" w:eastAsiaTheme="minorEastAsia" w:hAnsiTheme="minorHAnsi" w:cstheme="minorHAnsi"/>
                <w:sz w:val="22"/>
                <w:szCs w:val="22"/>
                <w:lang w:val="en-AU" w:eastAsia="en-US"/>
              </w:rPr>
            </w:pPr>
            <w:r w:rsidRPr="00DD6227">
              <w:rPr>
                <w:rFonts w:asciiTheme="minorHAnsi" w:eastAsiaTheme="minorEastAsia" w:hAnsiTheme="minorHAnsi" w:cstheme="minorHAnsi"/>
                <w:sz w:val="22"/>
                <w:szCs w:val="22"/>
                <w:lang w:val="en-US" w:eastAsia="en-US"/>
              </w:rPr>
              <w:t>Date of effect</w:t>
            </w:r>
            <w:r w:rsidRPr="00DD6227">
              <w:rPr>
                <w:rFonts w:asciiTheme="minorHAnsi" w:eastAsiaTheme="minorEastAsia" w:hAnsiTheme="minorHAnsi" w:cstheme="minorHAnsi"/>
                <w:sz w:val="22"/>
                <w:szCs w:val="22"/>
                <w:lang w:val="en-AU" w:eastAsia="en-US"/>
              </w:rPr>
              <w:t> </w:t>
            </w:r>
          </w:p>
        </w:tc>
        <w:tc>
          <w:tcPr>
            <w:tcW w:w="4556" w:type="dxa"/>
            <w:shd w:val="clear" w:color="auto" w:fill="auto"/>
            <w:hideMark/>
          </w:tcPr>
          <w:p w14:paraId="4FA3480F" w14:textId="66456BBD" w:rsidR="006423DA" w:rsidRPr="00DD6227" w:rsidRDefault="006423DA" w:rsidP="00AE52ED">
            <w:pPr>
              <w:spacing w:before="120" w:after="120" w:line="276" w:lineRule="auto"/>
              <w:textAlignment w:val="baseline"/>
              <w:rPr>
                <w:rFonts w:asciiTheme="minorHAnsi" w:eastAsiaTheme="minorEastAsia" w:hAnsiTheme="minorHAnsi" w:cstheme="minorHAnsi"/>
                <w:sz w:val="22"/>
                <w:szCs w:val="22"/>
                <w:lang w:val="en-AU" w:eastAsia="en-US"/>
              </w:rPr>
            </w:pPr>
            <w:proofErr w:type="gramStart"/>
            <w:r w:rsidRPr="00DD6227">
              <w:rPr>
                <w:rFonts w:asciiTheme="minorHAnsi" w:eastAsiaTheme="minorEastAsia" w:hAnsiTheme="minorHAnsi" w:cstheme="minorHAnsi"/>
                <w:sz w:val="22"/>
                <w:szCs w:val="22"/>
                <w:lang w:val="en-US" w:eastAsia="en-US"/>
              </w:rPr>
              <w:t>Brief summary</w:t>
            </w:r>
            <w:proofErr w:type="gramEnd"/>
            <w:r w:rsidRPr="00DD6227">
              <w:rPr>
                <w:rFonts w:asciiTheme="minorHAnsi" w:eastAsiaTheme="minorEastAsia" w:hAnsiTheme="minorHAnsi" w:cstheme="minorHAnsi"/>
                <w:sz w:val="22"/>
                <w:szCs w:val="22"/>
                <w:lang w:val="en-US" w:eastAsia="en-US"/>
              </w:rPr>
              <w:t xml:space="preserve"> of change</w:t>
            </w:r>
            <w:r w:rsidR="005A5557" w:rsidRPr="00DD6227">
              <w:rPr>
                <w:rFonts w:asciiTheme="minorHAnsi" w:eastAsiaTheme="minorEastAsia" w:hAnsiTheme="minorHAnsi" w:cstheme="minorHAnsi"/>
                <w:sz w:val="22"/>
                <w:szCs w:val="22"/>
                <w:lang w:val="en-US" w:eastAsia="en-US"/>
              </w:rPr>
              <w:t>s</w:t>
            </w:r>
            <w:r w:rsidRPr="00DD6227">
              <w:rPr>
                <w:rFonts w:asciiTheme="minorHAnsi" w:eastAsiaTheme="minorEastAsia" w:hAnsiTheme="minorHAnsi" w:cstheme="minorHAnsi"/>
                <w:sz w:val="22"/>
                <w:szCs w:val="22"/>
                <w:lang w:val="en-AU" w:eastAsia="en-US"/>
              </w:rPr>
              <w:t> </w:t>
            </w:r>
          </w:p>
        </w:tc>
      </w:tr>
      <w:tr w:rsidR="006423DA" w:rsidRPr="00DD6227" w14:paraId="1F5FB329" w14:textId="77777777" w:rsidTr="00AE52ED">
        <w:tc>
          <w:tcPr>
            <w:tcW w:w="3410" w:type="dxa"/>
            <w:shd w:val="clear" w:color="auto" w:fill="auto"/>
            <w:hideMark/>
          </w:tcPr>
          <w:p w14:paraId="76EAD978" w14:textId="77777777" w:rsidR="006423DA" w:rsidRPr="00DD6227" w:rsidRDefault="006423DA" w:rsidP="00AE52ED">
            <w:pPr>
              <w:spacing w:before="120" w:after="120" w:line="276" w:lineRule="auto"/>
              <w:textAlignment w:val="baseline"/>
              <w:rPr>
                <w:rFonts w:asciiTheme="minorHAnsi" w:eastAsiaTheme="minorEastAsia" w:hAnsiTheme="minorHAnsi" w:cstheme="minorHAnsi"/>
                <w:sz w:val="22"/>
                <w:szCs w:val="22"/>
                <w:lang w:val="en-AU" w:eastAsia="en-US"/>
              </w:rPr>
            </w:pPr>
            <w:r w:rsidRPr="00DD6227">
              <w:rPr>
                <w:rFonts w:asciiTheme="minorHAnsi" w:hAnsiTheme="minorHAnsi" w:cstheme="minorHAnsi"/>
                <w:sz w:val="22"/>
                <w:szCs w:val="22"/>
              </w:rPr>
              <w:t>Version 1 – Initial statement</w:t>
            </w:r>
          </w:p>
        </w:tc>
        <w:tc>
          <w:tcPr>
            <w:tcW w:w="1810" w:type="dxa"/>
            <w:shd w:val="clear" w:color="auto" w:fill="auto"/>
            <w:hideMark/>
          </w:tcPr>
          <w:p w14:paraId="2AA5BED1" w14:textId="0FAADB41" w:rsidR="006423DA" w:rsidRPr="00DD6227" w:rsidRDefault="006423DA" w:rsidP="00AE52ED">
            <w:pPr>
              <w:spacing w:before="120" w:after="120" w:line="276" w:lineRule="auto"/>
              <w:textAlignment w:val="baseline"/>
              <w:rPr>
                <w:rFonts w:asciiTheme="minorHAnsi" w:eastAsiaTheme="minorEastAsia" w:hAnsiTheme="minorHAnsi" w:cstheme="minorHAnsi"/>
                <w:sz w:val="22"/>
                <w:szCs w:val="22"/>
                <w:lang w:val="en-AU" w:eastAsia="en-US"/>
              </w:rPr>
            </w:pPr>
            <w:r w:rsidRPr="00DD6227">
              <w:rPr>
                <w:rFonts w:asciiTheme="minorHAnsi" w:hAnsiTheme="minorHAnsi" w:cstheme="minorHAnsi"/>
                <w:sz w:val="22"/>
                <w:szCs w:val="22"/>
              </w:rPr>
              <w:t>1</w:t>
            </w:r>
            <w:r w:rsidR="00452EEF" w:rsidRPr="00DD6227">
              <w:rPr>
                <w:rFonts w:asciiTheme="minorHAnsi" w:hAnsiTheme="minorHAnsi" w:cstheme="minorHAnsi"/>
                <w:sz w:val="22"/>
                <w:szCs w:val="22"/>
              </w:rPr>
              <w:t>9</w:t>
            </w:r>
            <w:r w:rsidRPr="00DD6227">
              <w:rPr>
                <w:rFonts w:asciiTheme="minorHAnsi" w:hAnsiTheme="minorHAnsi" w:cstheme="minorHAnsi"/>
                <w:sz w:val="22"/>
                <w:szCs w:val="22"/>
              </w:rPr>
              <w:t>/</w:t>
            </w:r>
            <w:r w:rsidR="00452EEF" w:rsidRPr="00DD6227">
              <w:rPr>
                <w:rFonts w:asciiTheme="minorHAnsi" w:hAnsiTheme="minorHAnsi" w:cstheme="minorHAnsi"/>
                <w:sz w:val="22"/>
                <w:szCs w:val="22"/>
              </w:rPr>
              <w:t>12</w:t>
            </w:r>
            <w:r w:rsidRPr="00DD6227">
              <w:rPr>
                <w:rFonts w:asciiTheme="minorHAnsi" w:hAnsiTheme="minorHAnsi" w:cstheme="minorHAnsi"/>
                <w:sz w:val="22"/>
                <w:szCs w:val="22"/>
              </w:rPr>
              <w:t>/201</w:t>
            </w:r>
            <w:r w:rsidR="00452EEF" w:rsidRPr="00DD6227">
              <w:rPr>
                <w:rFonts w:asciiTheme="minorHAnsi" w:hAnsiTheme="minorHAnsi" w:cstheme="minorHAnsi"/>
                <w:sz w:val="22"/>
                <w:szCs w:val="22"/>
              </w:rPr>
              <w:t>6</w:t>
            </w:r>
          </w:p>
        </w:tc>
        <w:tc>
          <w:tcPr>
            <w:tcW w:w="4556" w:type="dxa"/>
            <w:shd w:val="clear" w:color="auto" w:fill="auto"/>
            <w:hideMark/>
          </w:tcPr>
          <w:p w14:paraId="339612E5" w14:textId="25CBC915" w:rsidR="006423DA" w:rsidRPr="00DD6227" w:rsidRDefault="006423DA" w:rsidP="00AE52ED">
            <w:pPr>
              <w:spacing w:before="120" w:after="120" w:line="276" w:lineRule="auto"/>
              <w:textAlignment w:val="baseline"/>
              <w:rPr>
                <w:rFonts w:asciiTheme="minorHAnsi" w:eastAsiaTheme="minorEastAsia" w:hAnsiTheme="minorHAnsi" w:cstheme="minorHAnsi"/>
                <w:sz w:val="22"/>
                <w:szCs w:val="22"/>
                <w:lang w:val="en-AU" w:eastAsia="en-US"/>
              </w:rPr>
            </w:pPr>
            <w:r w:rsidRPr="00DD6227">
              <w:rPr>
                <w:rFonts w:asciiTheme="minorHAnsi" w:hAnsiTheme="minorHAnsi" w:cstheme="minorHAnsi"/>
                <w:sz w:val="22"/>
                <w:szCs w:val="22"/>
              </w:rPr>
              <w:t xml:space="preserve">Initial statement endorsed by Commissioner on </w:t>
            </w:r>
            <w:r w:rsidR="00452EEF" w:rsidRPr="00DD6227">
              <w:rPr>
                <w:rFonts w:asciiTheme="minorHAnsi" w:hAnsiTheme="minorHAnsi" w:cstheme="minorHAnsi"/>
                <w:sz w:val="22"/>
                <w:szCs w:val="22"/>
              </w:rPr>
              <w:t>19</w:t>
            </w:r>
            <w:r w:rsidRPr="00DD6227">
              <w:rPr>
                <w:rFonts w:asciiTheme="minorHAnsi" w:hAnsiTheme="minorHAnsi" w:cstheme="minorHAnsi"/>
                <w:sz w:val="22"/>
                <w:szCs w:val="22"/>
              </w:rPr>
              <w:t>/</w:t>
            </w:r>
            <w:r w:rsidR="00452EEF" w:rsidRPr="00DD6227">
              <w:rPr>
                <w:rFonts w:asciiTheme="minorHAnsi" w:hAnsiTheme="minorHAnsi" w:cstheme="minorHAnsi"/>
                <w:sz w:val="22"/>
                <w:szCs w:val="22"/>
              </w:rPr>
              <w:t>12</w:t>
            </w:r>
            <w:r w:rsidRPr="00DD6227">
              <w:rPr>
                <w:rFonts w:asciiTheme="minorHAnsi" w:hAnsiTheme="minorHAnsi" w:cstheme="minorHAnsi"/>
                <w:sz w:val="22"/>
                <w:szCs w:val="22"/>
              </w:rPr>
              <w:t>/201</w:t>
            </w:r>
            <w:r w:rsidR="00452EEF" w:rsidRPr="00DD6227">
              <w:rPr>
                <w:rFonts w:asciiTheme="minorHAnsi" w:hAnsiTheme="minorHAnsi" w:cstheme="minorHAnsi"/>
                <w:sz w:val="22"/>
                <w:szCs w:val="22"/>
              </w:rPr>
              <w:t>6</w:t>
            </w:r>
            <w:r w:rsidR="005A5557" w:rsidRPr="00DD6227">
              <w:rPr>
                <w:rFonts w:asciiTheme="minorHAnsi" w:hAnsiTheme="minorHAnsi" w:cstheme="minorHAnsi"/>
                <w:sz w:val="22"/>
                <w:szCs w:val="22"/>
              </w:rPr>
              <w:t>.</w:t>
            </w:r>
          </w:p>
        </w:tc>
      </w:tr>
      <w:tr w:rsidR="006423DA" w:rsidRPr="00DD6227" w14:paraId="7E984A00" w14:textId="77777777" w:rsidTr="00AE52ED">
        <w:tc>
          <w:tcPr>
            <w:tcW w:w="3410" w:type="dxa"/>
            <w:shd w:val="clear" w:color="auto" w:fill="auto"/>
          </w:tcPr>
          <w:p w14:paraId="3568E8D0" w14:textId="77777777" w:rsidR="006423DA" w:rsidRPr="00DD6227" w:rsidRDefault="006423DA" w:rsidP="00AE52ED">
            <w:pPr>
              <w:spacing w:before="120" w:after="120" w:line="276" w:lineRule="auto"/>
              <w:textAlignment w:val="baseline"/>
              <w:rPr>
                <w:rFonts w:asciiTheme="minorHAnsi" w:hAnsiTheme="minorHAnsi" w:cstheme="minorHAnsi"/>
                <w:sz w:val="22"/>
                <w:szCs w:val="22"/>
              </w:rPr>
            </w:pPr>
            <w:r w:rsidRPr="00DD6227">
              <w:rPr>
                <w:rFonts w:asciiTheme="minorHAnsi" w:hAnsiTheme="minorHAnsi" w:cstheme="minorHAnsi"/>
                <w:sz w:val="22"/>
                <w:szCs w:val="22"/>
              </w:rPr>
              <w:t>Version 2 - Amendment</w:t>
            </w:r>
          </w:p>
        </w:tc>
        <w:tc>
          <w:tcPr>
            <w:tcW w:w="1810" w:type="dxa"/>
            <w:shd w:val="clear" w:color="auto" w:fill="auto"/>
          </w:tcPr>
          <w:p w14:paraId="14B840E4" w14:textId="385C90E8" w:rsidR="006423DA" w:rsidRPr="00DD6227" w:rsidRDefault="00452EEF" w:rsidP="00AE52ED">
            <w:pPr>
              <w:spacing w:before="120" w:after="120" w:line="276" w:lineRule="auto"/>
              <w:textAlignment w:val="baseline"/>
              <w:rPr>
                <w:rFonts w:asciiTheme="minorHAnsi" w:hAnsiTheme="minorHAnsi" w:cstheme="minorHAnsi"/>
                <w:sz w:val="22"/>
                <w:szCs w:val="22"/>
              </w:rPr>
            </w:pPr>
            <w:r w:rsidRPr="00DD6227">
              <w:rPr>
                <w:rFonts w:asciiTheme="minorHAnsi" w:hAnsiTheme="minorHAnsi" w:cstheme="minorHAnsi"/>
                <w:sz w:val="22"/>
                <w:szCs w:val="22"/>
                <w:highlight w:val="yellow"/>
              </w:rPr>
              <w:t>TBC</w:t>
            </w:r>
          </w:p>
        </w:tc>
        <w:tc>
          <w:tcPr>
            <w:tcW w:w="4556" w:type="dxa"/>
            <w:shd w:val="clear" w:color="auto" w:fill="auto"/>
          </w:tcPr>
          <w:p w14:paraId="7B9E2FAF" w14:textId="15EDFE67" w:rsidR="006423DA" w:rsidRPr="00DD6227" w:rsidRDefault="006423DA" w:rsidP="00AE52ED">
            <w:pPr>
              <w:spacing w:before="120" w:after="120" w:line="276" w:lineRule="auto"/>
              <w:textAlignment w:val="baseline"/>
              <w:rPr>
                <w:rFonts w:asciiTheme="minorHAnsi" w:hAnsiTheme="minorHAnsi" w:cstheme="minorHAnsi"/>
                <w:sz w:val="22"/>
                <w:szCs w:val="22"/>
              </w:rPr>
            </w:pPr>
          </w:p>
        </w:tc>
      </w:tr>
    </w:tbl>
    <w:p w14:paraId="69E3E4C5" w14:textId="77777777" w:rsidR="006423DA" w:rsidRPr="00DD6227" w:rsidRDefault="006423DA" w:rsidP="006423DA">
      <w:pPr>
        <w:spacing w:before="120" w:after="120" w:line="276" w:lineRule="auto"/>
        <w:textAlignment w:val="baseline"/>
        <w:rPr>
          <w:rFonts w:asciiTheme="minorHAnsi" w:eastAsiaTheme="minorEastAsia" w:hAnsiTheme="minorHAnsi" w:cstheme="minorHAnsi"/>
          <w:sz w:val="22"/>
          <w:szCs w:val="22"/>
          <w:lang w:val="en-AU" w:eastAsia="en-US"/>
        </w:rPr>
      </w:pPr>
      <w:r w:rsidRPr="00DD6227">
        <w:rPr>
          <w:rFonts w:asciiTheme="minorHAnsi" w:eastAsiaTheme="minorEastAsia" w:hAnsiTheme="minorHAnsi" w:cstheme="minorHAnsi"/>
          <w:sz w:val="22"/>
          <w:szCs w:val="22"/>
          <w:lang w:val="en-AU" w:eastAsia="en-US"/>
        </w:rPr>
        <w:t> </w:t>
      </w:r>
    </w:p>
    <w:p w14:paraId="31838CF0" w14:textId="77777777" w:rsidR="004F47F2" w:rsidRPr="00DD6227" w:rsidRDefault="004F47F2" w:rsidP="007E4441">
      <w:pPr>
        <w:pStyle w:val="ListParagraph"/>
        <w:ind w:left="2880"/>
        <w:rPr>
          <w:rFonts w:asciiTheme="minorHAnsi" w:hAnsiTheme="minorHAnsi" w:cstheme="minorHAnsi"/>
        </w:rPr>
      </w:pPr>
    </w:p>
    <w:sectPr w:rsidR="004F47F2" w:rsidRPr="00DD6227" w:rsidSect="00012049">
      <w:headerReference w:type="even" r:id="rId13"/>
      <w:headerReference w:type="default" r:id="rId14"/>
      <w:footerReference w:type="even" r:id="rId15"/>
      <w:footerReference w:type="default" r:id="rId16"/>
      <w:headerReference w:type="first" r:id="rId17"/>
      <w:footerReference w:type="first" r:id="rId18"/>
      <w:pgSz w:w="11900" w:h="16840"/>
      <w:pgMar w:top="2694" w:right="1247" w:bottom="2041" w:left="1134" w:header="680"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84D5C" w14:textId="77777777" w:rsidR="008E7D49" w:rsidRDefault="008E7D49" w:rsidP="006423DA">
      <w:r>
        <w:separator/>
      </w:r>
    </w:p>
  </w:endnote>
  <w:endnote w:type="continuationSeparator" w:id="0">
    <w:p w14:paraId="587CCF83" w14:textId="77777777" w:rsidR="008E7D49" w:rsidRDefault="008E7D49" w:rsidP="006423DA">
      <w:r>
        <w:continuationSeparator/>
      </w:r>
    </w:p>
  </w:endnote>
  <w:endnote w:type="continuationNotice" w:id="1">
    <w:p w14:paraId="593F7526" w14:textId="77777777" w:rsidR="008E7D49" w:rsidRDefault="008E7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46C6" w14:textId="5044B640" w:rsidR="00E400CA" w:rsidRDefault="006423DA">
    <w:pPr>
      <w:pStyle w:val="Footer"/>
    </w:pPr>
    <w:r>
      <w:rPr>
        <w:noProof/>
      </w:rPr>
      <mc:AlternateContent>
        <mc:Choice Requires="wps">
          <w:drawing>
            <wp:anchor distT="0" distB="0" distL="0" distR="0" simplePos="0" relativeHeight="251658752" behindDoc="0" locked="0" layoutInCell="1" allowOverlap="1" wp14:anchorId="77109C0C" wp14:editId="42FFB627">
              <wp:simplePos x="635" y="635"/>
              <wp:positionH relativeFrom="column">
                <wp:align>center</wp:align>
              </wp:positionH>
              <wp:positionV relativeFrom="paragraph">
                <wp:posOffset>635</wp:posOffset>
              </wp:positionV>
              <wp:extent cx="443865" cy="443865"/>
              <wp:effectExtent l="0" t="0" r="5080" b="16510"/>
              <wp:wrapSquare wrapText="bothSides"/>
              <wp:docPr id="5"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377018" w14:textId="57D411FF" w:rsidR="006423DA" w:rsidRPr="006423DA" w:rsidRDefault="006423DA">
                          <w:pPr>
                            <w:rPr>
                              <w:rFonts w:ascii="Calibri" w:eastAsia="Calibri" w:hAnsi="Calibri" w:cs="Calibri"/>
                              <w:color w:val="FF0000"/>
                              <w:sz w:val="20"/>
                            </w:rPr>
                          </w:pPr>
                          <w:r w:rsidRPr="006423DA">
                            <w:rPr>
                              <w:rFonts w:ascii="Calibri" w:eastAsia="Calibri" w:hAnsi="Calibri" w:cs="Calibri"/>
                              <w:color w:val="FF0000"/>
                              <w:sz w:val="20"/>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109C0C" id="_x0000_t202" coordsize="21600,21600" o:spt="202" path="m,l,21600r21600,l21600,xe">
              <v:stroke joinstyle="miter"/>
              <v:path gradientshapeok="t" o:connecttype="rect"/>
            </v:shapetype>
            <v:shape id="Text Box 5" o:spid="_x0000_s1028" type="#_x0000_t202" alt="OFFICIAL Sensitive" style="position:absolute;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6377018" w14:textId="57D411FF" w:rsidR="006423DA" w:rsidRPr="006423DA" w:rsidRDefault="006423DA">
                    <w:pPr>
                      <w:rPr>
                        <w:rFonts w:ascii="Calibri" w:eastAsia="Calibri" w:hAnsi="Calibri" w:cs="Calibri"/>
                        <w:color w:val="FF0000"/>
                        <w:sz w:val="20"/>
                      </w:rPr>
                    </w:pPr>
                    <w:r w:rsidRPr="006423DA">
                      <w:rPr>
                        <w:rFonts w:ascii="Calibri" w:eastAsia="Calibri" w:hAnsi="Calibri" w:cs="Calibri"/>
                        <w:color w:val="FF0000"/>
                        <w:sz w:val="20"/>
                      </w:rPr>
                      <w:t>OFFICIAL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1EA5" w14:textId="626830ED" w:rsidR="00E400CA" w:rsidRDefault="006423DA">
    <w:pPr>
      <w:pStyle w:val="Footer"/>
    </w:pPr>
    <w:r>
      <w:rPr>
        <w:noProof/>
      </w:rPr>
      <mc:AlternateContent>
        <mc:Choice Requires="wps">
          <w:drawing>
            <wp:anchor distT="0" distB="0" distL="0" distR="0" simplePos="0" relativeHeight="251659776" behindDoc="0" locked="0" layoutInCell="1" allowOverlap="1" wp14:anchorId="5229E7A3" wp14:editId="5C218840">
              <wp:simplePos x="720725" y="10068560"/>
              <wp:positionH relativeFrom="column">
                <wp:align>center</wp:align>
              </wp:positionH>
              <wp:positionV relativeFrom="paragraph">
                <wp:posOffset>635</wp:posOffset>
              </wp:positionV>
              <wp:extent cx="443865" cy="443865"/>
              <wp:effectExtent l="0" t="0" r="5080" b="16510"/>
              <wp:wrapSquare wrapText="bothSides"/>
              <wp:docPr id="6"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194ECF" w14:textId="2C2C61BE" w:rsidR="006423DA" w:rsidRPr="006423DA" w:rsidRDefault="006423DA">
                          <w:pPr>
                            <w:rPr>
                              <w:rFonts w:ascii="Calibri" w:eastAsia="Calibri" w:hAnsi="Calibri" w:cs="Calibri"/>
                              <w:color w:val="FF0000"/>
                              <w:sz w:val="20"/>
                            </w:rPr>
                          </w:pPr>
                          <w:r w:rsidRPr="006423DA">
                            <w:rPr>
                              <w:rFonts w:ascii="Calibri" w:eastAsia="Calibri" w:hAnsi="Calibri" w:cs="Calibri"/>
                              <w:color w:val="FF0000"/>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229E7A3" id="_x0000_t202" coordsize="21600,21600" o:spt="202" path="m,l,21600r21600,l21600,xe">
              <v:stroke joinstyle="miter"/>
              <v:path gradientshapeok="t" o:connecttype="rect"/>
            </v:shapetype>
            <v:shape id="Text Box 6" o:spid="_x0000_s1029" type="#_x0000_t202" alt="OFFICIAL Sensitive" style="position:absolute;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C194ECF" w14:textId="2C2C61BE" w:rsidR="006423DA" w:rsidRPr="006423DA" w:rsidRDefault="006423DA">
                    <w:pPr>
                      <w:rPr>
                        <w:rFonts w:ascii="Calibri" w:eastAsia="Calibri" w:hAnsi="Calibri" w:cs="Calibri"/>
                        <w:color w:val="FF0000"/>
                        <w:sz w:val="20"/>
                      </w:rPr>
                    </w:pPr>
                    <w:r w:rsidRPr="006423DA">
                      <w:rPr>
                        <w:rFonts w:ascii="Calibri" w:eastAsia="Calibri" w:hAnsi="Calibri" w:cs="Calibri"/>
                        <w:color w:val="FF0000"/>
                        <w:sz w:val="20"/>
                      </w:rPr>
                      <w:t>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26FA" w14:textId="56EFA4A0" w:rsidR="00E400CA" w:rsidRDefault="006423DA">
    <w:pPr>
      <w:pStyle w:val="Footer"/>
    </w:pPr>
    <w:r>
      <w:rPr>
        <w:noProof/>
      </w:rPr>
      <mc:AlternateContent>
        <mc:Choice Requires="wps">
          <w:drawing>
            <wp:anchor distT="0" distB="0" distL="0" distR="0" simplePos="0" relativeHeight="251657728" behindDoc="0" locked="0" layoutInCell="1" allowOverlap="1" wp14:anchorId="428B7F7E" wp14:editId="58754DDD">
              <wp:simplePos x="723900" y="10067925"/>
              <wp:positionH relativeFrom="column">
                <wp:align>center</wp:align>
              </wp:positionH>
              <wp:positionV relativeFrom="paragraph">
                <wp:posOffset>635</wp:posOffset>
              </wp:positionV>
              <wp:extent cx="443865" cy="443865"/>
              <wp:effectExtent l="0" t="0" r="5080" b="16510"/>
              <wp:wrapSquare wrapText="bothSides"/>
              <wp:docPr id="4"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B16A7A" w14:textId="697F093C" w:rsidR="006423DA" w:rsidRPr="006423DA" w:rsidRDefault="006423DA">
                          <w:pPr>
                            <w:rPr>
                              <w:rFonts w:ascii="Calibri" w:eastAsia="Calibri" w:hAnsi="Calibri" w:cs="Calibri"/>
                              <w:color w:val="FF0000"/>
                              <w:sz w:val="20"/>
                            </w:rPr>
                          </w:pPr>
                          <w:r w:rsidRPr="006423DA">
                            <w:rPr>
                              <w:rFonts w:ascii="Calibri" w:eastAsia="Calibri" w:hAnsi="Calibri" w:cs="Calibri"/>
                              <w:color w:val="FF0000"/>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8B7F7E" id="_x0000_t202" coordsize="21600,21600" o:spt="202" path="m,l,21600r21600,l21600,xe">
              <v:stroke joinstyle="miter"/>
              <v:path gradientshapeok="t" o:connecttype="rect"/>
            </v:shapetype>
            <v:shape id="Text Box 4" o:spid="_x0000_s1031" type="#_x0000_t202" alt="OFFICIAL Sensitive" style="position:absolute;margin-left:0;margin-top:.05pt;width:34.95pt;height:34.95pt;z-index:251657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27B16A7A" w14:textId="697F093C" w:rsidR="006423DA" w:rsidRPr="006423DA" w:rsidRDefault="006423DA">
                    <w:pPr>
                      <w:rPr>
                        <w:rFonts w:ascii="Calibri" w:eastAsia="Calibri" w:hAnsi="Calibri" w:cs="Calibri"/>
                        <w:color w:val="FF0000"/>
                        <w:sz w:val="20"/>
                      </w:rPr>
                    </w:pPr>
                    <w:r w:rsidRPr="006423DA">
                      <w:rPr>
                        <w:rFonts w:ascii="Calibri" w:eastAsia="Calibri" w:hAnsi="Calibri" w:cs="Calibri"/>
                        <w:color w:val="FF0000"/>
                        <w:sz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3FB34" w14:textId="77777777" w:rsidR="008E7D49" w:rsidRDefault="008E7D49" w:rsidP="006423DA">
      <w:r>
        <w:separator/>
      </w:r>
    </w:p>
  </w:footnote>
  <w:footnote w:type="continuationSeparator" w:id="0">
    <w:p w14:paraId="651289FC" w14:textId="77777777" w:rsidR="008E7D49" w:rsidRDefault="008E7D49" w:rsidP="006423DA">
      <w:r>
        <w:continuationSeparator/>
      </w:r>
    </w:p>
  </w:footnote>
  <w:footnote w:type="continuationNotice" w:id="1">
    <w:p w14:paraId="4408E469" w14:textId="77777777" w:rsidR="008E7D49" w:rsidRDefault="008E7D49"/>
  </w:footnote>
  <w:footnote w:id="2">
    <w:p w14:paraId="44061DD6" w14:textId="2A4ADE15" w:rsidR="004A0660" w:rsidRPr="007C3D5F" w:rsidRDefault="004A0660">
      <w:pPr>
        <w:pStyle w:val="FootnoteText"/>
        <w:rPr>
          <w:rFonts w:ascii="Calibri" w:hAnsi="Calibri" w:cs="Calibri"/>
          <w:lang w:val="en-AU"/>
        </w:rPr>
      </w:pPr>
      <w:r w:rsidRPr="007C3D5F">
        <w:rPr>
          <w:rStyle w:val="FootnoteReference"/>
          <w:rFonts w:ascii="Calibri" w:hAnsi="Calibri" w:cs="Calibri"/>
        </w:rPr>
        <w:footnoteRef/>
      </w:r>
      <w:r w:rsidRPr="007C3D5F">
        <w:rPr>
          <w:rFonts w:ascii="Calibri" w:hAnsi="Calibri" w:cs="Calibri"/>
        </w:rPr>
        <w:t xml:space="preserve"> See, for example, </w:t>
      </w:r>
      <w:r w:rsidRPr="007C3D5F">
        <w:rPr>
          <w:rFonts w:ascii="Calibri" w:hAnsi="Calibri" w:cs="Calibri"/>
          <w:i/>
          <w:iCs/>
        </w:rPr>
        <w:t>Australian Council of Social Services Inc v Commissioner of Pay-roll Tax</w:t>
      </w:r>
      <w:r w:rsidRPr="007C3D5F">
        <w:rPr>
          <w:rFonts w:ascii="Calibri" w:hAnsi="Calibri" w:cs="Calibri"/>
        </w:rPr>
        <w:t xml:space="preserve"> (1985) 1 NSWLR 567, 575 (Priestley JA); </w:t>
      </w:r>
      <w:r w:rsidRPr="007C3D5F">
        <w:rPr>
          <w:rFonts w:ascii="Calibri" w:hAnsi="Calibri" w:cs="Calibri"/>
          <w:i/>
          <w:iCs/>
        </w:rPr>
        <w:t>Trustees of the Indigenous Barristers’ Trust v Federal Commissioner of Taxation</w:t>
      </w:r>
      <w:r w:rsidRPr="007C3D5F">
        <w:rPr>
          <w:rFonts w:ascii="Calibri" w:hAnsi="Calibri" w:cs="Calibri"/>
        </w:rPr>
        <w:t xml:space="preserve"> (2002) FCR 63, 72 (</w:t>
      </w:r>
      <w:proofErr w:type="spellStart"/>
      <w:r w:rsidRPr="007C3D5F">
        <w:rPr>
          <w:rFonts w:ascii="Calibri" w:hAnsi="Calibri" w:cs="Calibri"/>
        </w:rPr>
        <w:t>Gyles</w:t>
      </w:r>
      <w:proofErr w:type="spellEnd"/>
      <w:r w:rsidRPr="007C3D5F">
        <w:rPr>
          <w:rFonts w:ascii="Calibri" w:hAnsi="Calibri" w:cs="Calibri"/>
        </w:rPr>
        <w:t xml:space="preserve"> J); </w:t>
      </w:r>
      <w:r w:rsidRPr="007C3D5F">
        <w:rPr>
          <w:rFonts w:ascii="Calibri" w:hAnsi="Calibri" w:cs="Calibri"/>
          <w:i/>
          <w:iCs/>
        </w:rPr>
        <w:t>Northern Land Council v Commissioner of Taxes</w:t>
      </w:r>
      <w:r w:rsidRPr="007C3D5F">
        <w:rPr>
          <w:rFonts w:ascii="Calibri" w:hAnsi="Calibri" w:cs="Calibri"/>
        </w:rPr>
        <w:t xml:space="preserve"> [2002] NTCA 1, 5 [15] (</w:t>
      </w:r>
      <w:proofErr w:type="spellStart"/>
      <w:r w:rsidRPr="007C3D5F">
        <w:rPr>
          <w:rFonts w:ascii="Calibri" w:hAnsi="Calibri" w:cs="Calibri"/>
        </w:rPr>
        <w:t>Mildren</w:t>
      </w:r>
      <w:proofErr w:type="spellEnd"/>
      <w:r w:rsidRPr="007C3D5F">
        <w:rPr>
          <w:rFonts w:ascii="Calibri" w:hAnsi="Calibri" w:cs="Calibri"/>
        </w:rPr>
        <w:t xml:space="preserve"> J); </w:t>
      </w:r>
      <w:proofErr w:type="spellStart"/>
      <w:r w:rsidRPr="007C3D5F">
        <w:rPr>
          <w:rFonts w:ascii="Calibri" w:hAnsi="Calibri" w:cs="Calibri"/>
          <w:i/>
          <w:iCs/>
        </w:rPr>
        <w:t>KinCare</w:t>
      </w:r>
      <w:proofErr w:type="spellEnd"/>
      <w:r w:rsidRPr="007C3D5F">
        <w:rPr>
          <w:rFonts w:ascii="Calibri" w:hAnsi="Calibri" w:cs="Calibri"/>
          <w:i/>
          <w:iCs/>
        </w:rPr>
        <w:t xml:space="preserve"> Community Services Ltd v Chief Commissioner of State Revenue</w:t>
      </w:r>
      <w:r w:rsidRPr="007C3D5F">
        <w:rPr>
          <w:rFonts w:ascii="Calibri" w:hAnsi="Calibri" w:cs="Calibri"/>
        </w:rPr>
        <w:t xml:space="preserve"> (NSW) [2019] NSWSC 182, [212] (Payne J).</w:t>
      </w:r>
    </w:p>
  </w:footnote>
  <w:footnote w:id="3">
    <w:p w14:paraId="21170EC4" w14:textId="7E50A6B5" w:rsidR="007C3D5F" w:rsidRPr="007C3D5F" w:rsidRDefault="007C3D5F">
      <w:pPr>
        <w:pStyle w:val="FootnoteText"/>
        <w:rPr>
          <w:rFonts w:ascii="Calibri" w:hAnsi="Calibri" w:cs="Calibri"/>
          <w:lang w:val="en-AU"/>
        </w:rPr>
      </w:pPr>
      <w:r w:rsidRPr="007C3D5F">
        <w:rPr>
          <w:rStyle w:val="FootnoteReference"/>
          <w:rFonts w:ascii="Calibri" w:hAnsi="Calibri" w:cs="Calibri"/>
        </w:rPr>
        <w:footnoteRef/>
      </w:r>
      <w:r w:rsidRPr="007C3D5F">
        <w:rPr>
          <w:rFonts w:ascii="Calibri" w:hAnsi="Calibri" w:cs="Calibri"/>
        </w:rPr>
        <w:t xml:space="preserve">   </w:t>
      </w:r>
      <w:r w:rsidRPr="007C3D5F">
        <w:rPr>
          <w:rFonts w:ascii="Calibri" w:hAnsi="Calibri" w:cs="Calibri"/>
          <w:i/>
          <w:iCs/>
        </w:rPr>
        <w:t>O’Farrell v Council of Municipality of Bathurst</w:t>
      </w:r>
      <w:r w:rsidRPr="007C3D5F">
        <w:rPr>
          <w:rFonts w:ascii="Calibri" w:hAnsi="Calibri" w:cs="Calibri"/>
        </w:rPr>
        <w:t xml:space="preserve"> (1923) 40 WN (NSW) 78.</w:t>
      </w:r>
    </w:p>
  </w:footnote>
  <w:footnote w:id="4">
    <w:p w14:paraId="7579A332" w14:textId="4E63777A" w:rsidR="003B6132" w:rsidRPr="00A34AE3" w:rsidRDefault="003B6132">
      <w:pPr>
        <w:pStyle w:val="FootnoteText"/>
        <w:rPr>
          <w:rFonts w:ascii="Calibri" w:hAnsi="Calibri" w:cs="Calibri"/>
          <w:lang w:val="en-AU"/>
        </w:rPr>
      </w:pPr>
      <w:r w:rsidRPr="00A34AE3">
        <w:rPr>
          <w:rStyle w:val="FootnoteReference"/>
          <w:rFonts w:ascii="Calibri" w:hAnsi="Calibri" w:cs="Calibri"/>
        </w:rPr>
        <w:footnoteRef/>
      </w:r>
      <w:r w:rsidRPr="00A34AE3">
        <w:rPr>
          <w:rFonts w:ascii="Calibri" w:hAnsi="Calibri" w:cs="Calibri"/>
        </w:rPr>
        <w:t xml:space="preserve"> </w:t>
      </w:r>
      <w:r w:rsidR="00216ACB" w:rsidRPr="00A34AE3">
        <w:rPr>
          <w:rFonts w:ascii="Calibri" w:hAnsi="Calibri" w:cs="Calibri"/>
          <w:i/>
          <w:iCs/>
        </w:rPr>
        <w:t>Perpetual Trustee Co Ltd v Federal Commissioner of Taxation</w:t>
      </w:r>
      <w:r w:rsidR="00216ACB" w:rsidRPr="00A34AE3">
        <w:rPr>
          <w:rFonts w:ascii="Calibri" w:hAnsi="Calibri" w:cs="Calibri"/>
        </w:rPr>
        <w:t xml:space="preserve"> (1931) 45 CLR 224, 232 (Dixon J)</w:t>
      </w:r>
      <w:r w:rsidR="0045250E" w:rsidRPr="00A34AE3">
        <w:rPr>
          <w:rFonts w:ascii="Calibri" w:hAnsi="Calibri" w:cs="Calibri"/>
        </w:rPr>
        <w:t>.</w:t>
      </w:r>
    </w:p>
  </w:footnote>
  <w:footnote w:id="5">
    <w:p w14:paraId="2F0D4B5D" w14:textId="58DFAF68" w:rsidR="00D20A27" w:rsidRPr="00FA598D" w:rsidRDefault="00D20A27">
      <w:pPr>
        <w:pStyle w:val="FootnoteText"/>
        <w:rPr>
          <w:rFonts w:ascii="Calibri" w:hAnsi="Calibri" w:cs="Calibri"/>
          <w:lang w:val="en-AU"/>
        </w:rPr>
      </w:pPr>
      <w:r w:rsidRPr="00FA598D">
        <w:rPr>
          <w:rStyle w:val="FootnoteReference"/>
          <w:rFonts w:ascii="Calibri" w:hAnsi="Calibri" w:cs="Calibri"/>
        </w:rPr>
        <w:footnoteRef/>
      </w:r>
      <w:r w:rsidRPr="00FA598D">
        <w:rPr>
          <w:rFonts w:ascii="Calibri" w:hAnsi="Calibri" w:cs="Calibri"/>
        </w:rPr>
        <w:t xml:space="preserve"> </w:t>
      </w:r>
      <w:r w:rsidR="008430E6" w:rsidRPr="00FA598D">
        <w:rPr>
          <w:rFonts w:ascii="Calibri" w:hAnsi="Calibri" w:cs="Calibri"/>
          <w:i/>
          <w:iCs/>
        </w:rPr>
        <w:t xml:space="preserve">Commissioner of Pay-roll Tax (Vic) v The </w:t>
      </w:r>
      <w:proofErr w:type="spellStart"/>
      <w:r w:rsidR="008430E6" w:rsidRPr="00FA598D">
        <w:rPr>
          <w:rFonts w:ascii="Calibri" w:hAnsi="Calibri" w:cs="Calibri"/>
          <w:i/>
          <w:iCs/>
        </w:rPr>
        <w:t>Cairnmillar</w:t>
      </w:r>
      <w:proofErr w:type="spellEnd"/>
      <w:r w:rsidR="008430E6" w:rsidRPr="00FA598D">
        <w:rPr>
          <w:rFonts w:ascii="Calibri" w:hAnsi="Calibri" w:cs="Calibri"/>
          <w:i/>
          <w:iCs/>
        </w:rPr>
        <w:t xml:space="preserve"> Institute</w:t>
      </w:r>
      <w:r w:rsidR="008430E6" w:rsidRPr="00FA598D">
        <w:rPr>
          <w:rFonts w:ascii="Calibri" w:hAnsi="Calibri" w:cs="Calibri"/>
        </w:rPr>
        <w:t xml:space="preserve"> (1990) 90 ATC 4752</w:t>
      </w:r>
      <w:r w:rsidR="00BD29B0" w:rsidRPr="00FA598D">
        <w:rPr>
          <w:rFonts w:ascii="Calibri" w:hAnsi="Calibri" w:cs="Calibri"/>
        </w:rPr>
        <w:t>, 675 (</w:t>
      </w:r>
      <w:proofErr w:type="spellStart"/>
      <w:r w:rsidR="00BD29B0" w:rsidRPr="00FA598D">
        <w:rPr>
          <w:rFonts w:ascii="Calibri" w:hAnsi="Calibri" w:cs="Calibri"/>
        </w:rPr>
        <w:t>McGarvie</w:t>
      </w:r>
      <w:proofErr w:type="spellEnd"/>
      <w:r w:rsidR="00BD29B0" w:rsidRPr="00FA598D">
        <w:rPr>
          <w:rFonts w:ascii="Calibri" w:hAnsi="Calibri" w:cs="Calibri"/>
        </w:rPr>
        <w:t xml:space="preserve"> J).</w:t>
      </w:r>
    </w:p>
  </w:footnote>
  <w:footnote w:id="6">
    <w:p w14:paraId="528C34BE" w14:textId="7E3C005C" w:rsidR="0030448C" w:rsidRPr="00FA598D" w:rsidRDefault="0030448C">
      <w:pPr>
        <w:pStyle w:val="FootnoteText"/>
        <w:rPr>
          <w:rFonts w:ascii="Calibri" w:hAnsi="Calibri" w:cs="Calibri"/>
          <w:lang w:val="en-AU"/>
        </w:rPr>
      </w:pPr>
      <w:r w:rsidRPr="00FA598D">
        <w:rPr>
          <w:rStyle w:val="FootnoteReference"/>
          <w:rFonts w:ascii="Calibri" w:hAnsi="Calibri" w:cs="Calibri"/>
        </w:rPr>
        <w:footnoteRef/>
      </w:r>
      <w:r w:rsidRPr="00FA598D">
        <w:rPr>
          <w:rFonts w:ascii="Calibri" w:hAnsi="Calibri" w:cs="Calibri"/>
        </w:rPr>
        <w:t xml:space="preserve"> </w:t>
      </w:r>
      <w:r w:rsidRPr="00FA598D">
        <w:rPr>
          <w:rFonts w:ascii="Calibri" w:hAnsi="Calibri" w:cs="Calibri"/>
          <w:lang w:val="en-AU"/>
        </w:rPr>
        <w:t xml:space="preserve">See, for example, </w:t>
      </w:r>
      <w:r w:rsidR="00BD29B0" w:rsidRPr="00FA598D">
        <w:rPr>
          <w:rFonts w:ascii="Calibri" w:hAnsi="Calibri" w:cs="Calibri"/>
          <w:i/>
          <w:iCs/>
          <w:lang w:val="en-AU"/>
        </w:rPr>
        <w:t>Perpetual Trustee Co Ltd v Federal Commissioner of Taxation</w:t>
      </w:r>
      <w:r w:rsidR="00BD29B0" w:rsidRPr="00FA598D">
        <w:rPr>
          <w:rFonts w:ascii="Calibri" w:hAnsi="Calibri" w:cs="Calibri"/>
          <w:lang w:val="en-AU"/>
        </w:rPr>
        <w:t xml:space="preserve"> (1931) 45 CLR 224, </w:t>
      </w:r>
      <w:r w:rsidR="0017353D" w:rsidRPr="00FA598D">
        <w:rPr>
          <w:rFonts w:ascii="Calibri" w:hAnsi="Calibri" w:cs="Calibri"/>
          <w:lang w:val="en-AU"/>
        </w:rPr>
        <w:t xml:space="preserve">232 </w:t>
      </w:r>
      <w:r w:rsidR="00BD29B0" w:rsidRPr="00FA598D">
        <w:rPr>
          <w:rFonts w:ascii="Calibri" w:hAnsi="Calibri" w:cs="Calibri"/>
          <w:lang w:val="en-AU"/>
        </w:rPr>
        <w:t>(</w:t>
      </w:r>
      <w:r w:rsidR="0017353D" w:rsidRPr="00FA598D">
        <w:rPr>
          <w:rFonts w:ascii="Calibri" w:hAnsi="Calibri" w:cs="Calibri"/>
          <w:lang w:val="en-AU"/>
        </w:rPr>
        <w:t>Starke J</w:t>
      </w:r>
      <w:r w:rsidR="00BD29B0" w:rsidRPr="00FA598D">
        <w:rPr>
          <w:rFonts w:ascii="Calibri" w:hAnsi="Calibri" w:cs="Calibri"/>
          <w:lang w:val="en-AU"/>
        </w:rPr>
        <w:t>)</w:t>
      </w:r>
      <w:r w:rsidR="0017353D" w:rsidRPr="00FA598D">
        <w:rPr>
          <w:rFonts w:ascii="Calibri" w:hAnsi="Calibri" w:cs="Calibri"/>
          <w:lang w:val="en-AU"/>
        </w:rPr>
        <w:t>;</w:t>
      </w:r>
      <w:r w:rsidR="00E16ED7" w:rsidRPr="00FA598D">
        <w:rPr>
          <w:rFonts w:ascii="Calibri" w:hAnsi="Calibri" w:cs="Calibri"/>
          <w:lang w:val="en-AU"/>
        </w:rPr>
        <w:t xml:space="preserve"> 233-234 (Dixon J);</w:t>
      </w:r>
      <w:r w:rsidR="0090490B" w:rsidRPr="00FA598D">
        <w:rPr>
          <w:rFonts w:ascii="Calibri" w:hAnsi="Calibri" w:cs="Calibri"/>
          <w:lang w:val="en-AU"/>
        </w:rPr>
        <w:t xml:space="preserve"> 235 (Evatt J);</w:t>
      </w:r>
      <w:r w:rsidR="0017353D" w:rsidRPr="00FA598D">
        <w:rPr>
          <w:rFonts w:ascii="Calibri" w:hAnsi="Calibri" w:cs="Calibri"/>
          <w:lang w:val="en-AU"/>
        </w:rPr>
        <w:t xml:space="preserve"> </w:t>
      </w:r>
      <w:r w:rsidR="009771BF" w:rsidRPr="00FA598D">
        <w:rPr>
          <w:rFonts w:ascii="Calibri" w:hAnsi="Calibri" w:cs="Calibri"/>
          <w:lang w:val="en-AU"/>
        </w:rPr>
        <w:t>241 (</w:t>
      </w:r>
      <w:proofErr w:type="spellStart"/>
      <w:r w:rsidR="009771BF" w:rsidRPr="00FA598D">
        <w:rPr>
          <w:rFonts w:ascii="Calibri" w:hAnsi="Calibri" w:cs="Calibri"/>
          <w:lang w:val="en-AU"/>
        </w:rPr>
        <w:t>McTiernan</w:t>
      </w:r>
      <w:proofErr w:type="spellEnd"/>
      <w:r w:rsidR="009771BF" w:rsidRPr="00FA598D">
        <w:rPr>
          <w:rFonts w:ascii="Calibri" w:hAnsi="Calibri" w:cs="Calibri"/>
          <w:lang w:val="en-AU"/>
        </w:rPr>
        <w:t xml:space="preserve"> J)</w:t>
      </w:r>
      <w:r w:rsidR="0090490B" w:rsidRPr="00FA598D">
        <w:rPr>
          <w:rFonts w:ascii="Calibri" w:hAnsi="Calibri" w:cs="Calibri"/>
          <w:lang w:val="en-AU"/>
        </w:rPr>
        <w:t>.</w:t>
      </w:r>
    </w:p>
  </w:footnote>
  <w:footnote w:id="7">
    <w:p w14:paraId="31F43187" w14:textId="0252875A" w:rsidR="00226C08" w:rsidRPr="00FA598D" w:rsidRDefault="00226C08">
      <w:pPr>
        <w:pStyle w:val="FootnoteText"/>
        <w:rPr>
          <w:rFonts w:ascii="Calibri" w:hAnsi="Calibri" w:cs="Calibri"/>
          <w:lang w:val="en-AU"/>
        </w:rPr>
      </w:pPr>
      <w:r w:rsidRPr="00FA598D">
        <w:rPr>
          <w:rStyle w:val="FootnoteReference"/>
          <w:rFonts w:ascii="Calibri" w:hAnsi="Calibri" w:cs="Calibri"/>
        </w:rPr>
        <w:footnoteRef/>
      </w:r>
      <w:r w:rsidRPr="00FA598D">
        <w:rPr>
          <w:rFonts w:ascii="Calibri" w:hAnsi="Calibri" w:cs="Calibri"/>
        </w:rPr>
        <w:t xml:space="preserve"> </w:t>
      </w:r>
      <w:r w:rsidR="00575F69" w:rsidRPr="00FA598D">
        <w:rPr>
          <w:rFonts w:ascii="Calibri" w:hAnsi="Calibri" w:cs="Calibri"/>
        </w:rPr>
        <w:t xml:space="preserve">See, for example, </w:t>
      </w:r>
      <w:r w:rsidR="00575F69" w:rsidRPr="00FA598D">
        <w:rPr>
          <w:rFonts w:ascii="Calibri" w:hAnsi="Calibri" w:cs="Calibri"/>
          <w:i/>
          <w:iCs/>
        </w:rPr>
        <w:t>B</w:t>
      </w:r>
      <w:r w:rsidR="00C174EC" w:rsidRPr="00FA598D">
        <w:rPr>
          <w:rFonts w:ascii="Calibri" w:hAnsi="Calibri" w:cs="Calibri"/>
          <w:i/>
          <w:iCs/>
        </w:rPr>
        <w:t>allarat Trustees Executors and Agency Co Ltd v Federal Commissioner of Taxation</w:t>
      </w:r>
      <w:r w:rsidR="00C174EC" w:rsidRPr="00FA598D">
        <w:rPr>
          <w:rFonts w:ascii="Calibri" w:hAnsi="Calibri" w:cs="Calibri"/>
        </w:rPr>
        <w:t xml:space="preserve"> </w:t>
      </w:r>
      <w:r w:rsidR="008C4129" w:rsidRPr="00FA598D">
        <w:rPr>
          <w:rFonts w:ascii="Calibri" w:hAnsi="Calibri" w:cs="Calibri"/>
        </w:rPr>
        <w:t>[</w:t>
      </w:r>
      <w:r w:rsidR="00C174EC" w:rsidRPr="00FA598D">
        <w:rPr>
          <w:rFonts w:ascii="Calibri" w:hAnsi="Calibri" w:cs="Calibri"/>
        </w:rPr>
        <w:t>1950</w:t>
      </w:r>
      <w:r w:rsidR="008C4129" w:rsidRPr="00FA598D">
        <w:rPr>
          <w:rFonts w:ascii="Calibri" w:hAnsi="Calibri" w:cs="Calibri"/>
        </w:rPr>
        <w:t>]</w:t>
      </w:r>
      <w:r w:rsidR="00C174EC" w:rsidRPr="00FA598D">
        <w:rPr>
          <w:rFonts w:ascii="Calibri" w:hAnsi="Calibri" w:cs="Calibri"/>
        </w:rPr>
        <w:t xml:space="preserve"> 80 CLR </w:t>
      </w:r>
      <w:r w:rsidR="008C4129" w:rsidRPr="00FA598D">
        <w:rPr>
          <w:rFonts w:ascii="Calibri" w:hAnsi="Calibri" w:cs="Calibri"/>
        </w:rPr>
        <w:t xml:space="preserve">350, </w:t>
      </w:r>
      <w:r w:rsidR="00C174EC" w:rsidRPr="00FA598D">
        <w:rPr>
          <w:rFonts w:ascii="Calibri" w:hAnsi="Calibri" w:cs="Calibri"/>
        </w:rPr>
        <w:t>355 (</w:t>
      </w:r>
      <w:proofErr w:type="spellStart"/>
      <w:r w:rsidR="00C174EC" w:rsidRPr="00FA598D">
        <w:rPr>
          <w:rFonts w:ascii="Calibri" w:hAnsi="Calibri" w:cs="Calibri"/>
        </w:rPr>
        <w:t>Kitto</w:t>
      </w:r>
      <w:proofErr w:type="spellEnd"/>
      <w:r w:rsidR="00C174EC" w:rsidRPr="00FA598D">
        <w:rPr>
          <w:rFonts w:ascii="Calibri" w:hAnsi="Calibri" w:cs="Calibri"/>
        </w:rPr>
        <w:t xml:space="preserve"> J)</w:t>
      </w:r>
      <w:r w:rsidR="00047C47">
        <w:rPr>
          <w:rFonts w:ascii="Calibri" w:hAnsi="Calibri" w:cs="Calibri"/>
        </w:rPr>
        <w:t xml:space="preserve">; </w:t>
      </w:r>
      <w:proofErr w:type="spellStart"/>
      <w:r w:rsidR="00047C47" w:rsidRPr="00C321AF">
        <w:rPr>
          <w:rFonts w:ascii="Calibri" w:hAnsi="Calibri" w:cs="Calibri"/>
          <w:i/>
          <w:iCs/>
        </w:rPr>
        <w:t>Dareton</w:t>
      </w:r>
      <w:proofErr w:type="spellEnd"/>
      <w:r w:rsidR="00047C47" w:rsidRPr="00C321AF">
        <w:rPr>
          <w:rFonts w:ascii="Calibri" w:hAnsi="Calibri" w:cs="Calibri"/>
          <w:i/>
          <w:iCs/>
        </w:rPr>
        <w:t xml:space="preserve"> </w:t>
      </w:r>
      <w:r w:rsidR="00C321AF" w:rsidRPr="00C321AF">
        <w:rPr>
          <w:rFonts w:ascii="Calibri" w:hAnsi="Calibri" w:cs="Calibri"/>
          <w:i/>
          <w:iCs/>
        </w:rPr>
        <w:t>Local Aboriginal Land Council v Wentworth Council</w:t>
      </w:r>
      <w:r w:rsidR="00C321AF" w:rsidRPr="00C321AF">
        <w:rPr>
          <w:rFonts w:ascii="Calibri" w:hAnsi="Calibri" w:cs="Calibri"/>
        </w:rPr>
        <w:t xml:space="preserve"> (1995) 89 LGERA 120</w:t>
      </w:r>
      <w:r w:rsidR="00C321AF">
        <w:rPr>
          <w:rFonts w:ascii="Calibri" w:hAnsi="Calibri" w:cs="Calibri"/>
        </w:rPr>
        <w:t xml:space="preserve">, </w:t>
      </w:r>
      <w:r w:rsidR="00E25EB1">
        <w:rPr>
          <w:rFonts w:ascii="Calibri" w:hAnsi="Calibri" w:cs="Calibri"/>
        </w:rPr>
        <w:t>125 (</w:t>
      </w:r>
      <w:proofErr w:type="spellStart"/>
      <w:r w:rsidR="00E25EB1">
        <w:rPr>
          <w:rFonts w:ascii="Calibri" w:hAnsi="Calibri" w:cs="Calibri"/>
        </w:rPr>
        <w:t>Bignold</w:t>
      </w:r>
      <w:proofErr w:type="spellEnd"/>
      <w:r w:rsidR="00E25EB1">
        <w:rPr>
          <w:rFonts w:ascii="Calibri" w:hAnsi="Calibri" w:cs="Calibri"/>
        </w:rPr>
        <w:t xml:space="preserve"> J).</w:t>
      </w:r>
    </w:p>
  </w:footnote>
  <w:footnote w:id="8">
    <w:p w14:paraId="2A90E406" w14:textId="1A4B6C55" w:rsidR="00105E46" w:rsidRPr="00FA598D" w:rsidRDefault="00105E46">
      <w:pPr>
        <w:pStyle w:val="FootnoteText"/>
        <w:rPr>
          <w:rFonts w:ascii="Calibri" w:hAnsi="Calibri" w:cs="Calibri"/>
          <w:lang w:val="en-AU"/>
        </w:rPr>
      </w:pPr>
      <w:r w:rsidRPr="00FA598D">
        <w:rPr>
          <w:rStyle w:val="FootnoteReference"/>
          <w:rFonts w:ascii="Calibri" w:hAnsi="Calibri" w:cs="Calibri"/>
        </w:rPr>
        <w:footnoteRef/>
      </w:r>
      <w:r w:rsidRPr="00FA598D">
        <w:rPr>
          <w:rFonts w:ascii="Calibri" w:hAnsi="Calibri" w:cs="Calibri"/>
        </w:rPr>
        <w:t xml:space="preserve"> </w:t>
      </w:r>
      <w:proofErr w:type="spellStart"/>
      <w:r w:rsidR="005A4AAB" w:rsidRPr="00FA598D">
        <w:rPr>
          <w:rFonts w:ascii="Calibri" w:hAnsi="Calibri" w:cs="Calibri"/>
          <w:i/>
          <w:iCs/>
        </w:rPr>
        <w:t>Lemm</w:t>
      </w:r>
      <w:proofErr w:type="spellEnd"/>
      <w:r w:rsidR="005A4AAB" w:rsidRPr="00FA598D">
        <w:rPr>
          <w:rFonts w:ascii="Calibri" w:hAnsi="Calibri" w:cs="Calibri"/>
          <w:i/>
          <w:iCs/>
        </w:rPr>
        <w:t xml:space="preserve"> v Federal Commissioner of Taxation</w:t>
      </w:r>
      <w:r w:rsidR="005A4AAB" w:rsidRPr="00FA598D">
        <w:rPr>
          <w:rFonts w:ascii="Calibri" w:hAnsi="Calibri" w:cs="Calibri"/>
        </w:rPr>
        <w:t xml:space="preserve"> (1942) 66 CLR 399</w:t>
      </w:r>
      <w:r w:rsidR="00BF024D" w:rsidRPr="00FA598D">
        <w:rPr>
          <w:rFonts w:ascii="Calibri" w:hAnsi="Calibri" w:cs="Calibri"/>
        </w:rPr>
        <w:t xml:space="preserve">, </w:t>
      </w:r>
      <w:r w:rsidR="000569ED" w:rsidRPr="00FA598D">
        <w:rPr>
          <w:rFonts w:ascii="Calibri" w:hAnsi="Calibri" w:cs="Calibri"/>
        </w:rPr>
        <w:t>410 (Williams J).</w:t>
      </w:r>
    </w:p>
  </w:footnote>
  <w:footnote w:id="9">
    <w:p w14:paraId="5F603322" w14:textId="34922C7B" w:rsidR="00D11B52" w:rsidRPr="008C26D2" w:rsidRDefault="00D11B52">
      <w:pPr>
        <w:pStyle w:val="FootnoteText"/>
        <w:rPr>
          <w:rFonts w:ascii="Calibri" w:hAnsi="Calibri" w:cs="Calibri"/>
          <w:lang w:val="en-AU"/>
        </w:rPr>
      </w:pPr>
      <w:r w:rsidRPr="008C26D2">
        <w:rPr>
          <w:rStyle w:val="FootnoteReference"/>
          <w:rFonts w:ascii="Calibri" w:hAnsi="Calibri" w:cs="Calibri"/>
        </w:rPr>
        <w:footnoteRef/>
      </w:r>
      <w:r w:rsidRPr="008C26D2">
        <w:rPr>
          <w:rFonts w:ascii="Calibri" w:hAnsi="Calibri" w:cs="Calibri"/>
        </w:rPr>
        <w:t xml:space="preserve"> </w:t>
      </w:r>
      <w:r w:rsidRPr="008C26D2">
        <w:rPr>
          <w:rFonts w:ascii="Calibri" w:hAnsi="Calibri" w:cs="Calibri"/>
          <w:lang w:val="en-AU"/>
        </w:rPr>
        <w:t xml:space="preserve">See, for example, </w:t>
      </w:r>
      <w:r w:rsidR="00D576AE" w:rsidRPr="008C26D2">
        <w:rPr>
          <w:rFonts w:ascii="Calibri" w:hAnsi="Calibri" w:cs="Calibri"/>
          <w:i/>
          <w:iCs/>
          <w:lang w:val="en-AU"/>
        </w:rPr>
        <w:t>Estate of Hadji</w:t>
      </w:r>
      <w:r w:rsidR="00D576AE" w:rsidRPr="008C26D2">
        <w:rPr>
          <w:rFonts w:ascii="Calibri" w:hAnsi="Calibri" w:cs="Calibri"/>
          <w:lang w:val="en-AU"/>
        </w:rPr>
        <w:t xml:space="preserve"> [1948] 1 MLJ 62, 63; </w:t>
      </w:r>
      <w:r w:rsidR="00D576AE" w:rsidRPr="008C26D2">
        <w:rPr>
          <w:rFonts w:ascii="Calibri" w:hAnsi="Calibri" w:cs="Calibri"/>
          <w:i/>
          <w:iCs/>
          <w:lang w:val="en-AU"/>
        </w:rPr>
        <w:t xml:space="preserve">City of Hawthorn v Victorian Welfare Association </w:t>
      </w:r>
      <w:r w:rsidR="00D576AE" w:rsidRPr="008C26D2">
        <w:rPr>
          <w:rFonts w:ascii="Calibri" w:hAnsi="Calibri" w:cs="Calibri"/>
          <w:lang w:val="en-AU"/>
        </w:rPr>
        <w:t>[1970] VR 205, 208-9.</w:t>
      </w:r>
    </w:p>
  </w:footnote>
  <w:footnote w:id="10">
    <w:p w14:paraId="260FF5EB" w14:textId="2AA0F6FC" w:rsidR="00B9758D" w:rsidRPr="00FA598D" w:rsidRDefault="00B9758D">
      <w:pPr>
        <w:pStyle w:val="FootnoteText"/>
        <w:rPr>
          <w:rFonts w:asciiTheme="minorHAnsi" w:hAnsiTheme="minorHAnsi" w:cstheme="minorHAnsi"/>
          <w:lang w:val="en-AU"/>
        </w:rPr>
      </w:pPr>
      <w:r w:rsidRPr="00FA598D">
        <w:rPr>
          <w:rStyle w:val="FootnoteReference"/>
          <w:rFonts w:asciiTheme="minorHAnsi" w:hAnsiTheme="minorHAnsi" w:cstheme="minorHAnsi"/>
        </w:rPr>
        <w:footnoteRef/>
      </w:r>
      <w:r w:rsidRPr="00FA598D">
        <w:rPr>
          <w:rFonts w:asciiTheme="minorHAnsi" w:hAnsiTheme="minorHAnsi" w:cstheme="minorHAnsi"/>
        </w:rPr>
        <w:t xml:space="preserve"> </w:t>
      </w:r>
      <w:r w:rsidR="00BE3047" w:rsidRPr="00FA598D">
        <w:rPr>
          <w:rFonts w:asciiTheme="minorHAnsi" w:hAnsiTheme="minorHAnsi" w:cstheme="minorHAnsi"/>
          <w:i/>
          <w:iCs/>
          <w:lang w:val="en-AU"/>
        </w:rPr>
        <w:t xml:space="preserve">Commissioner of Pay-roll Tax (Vic) v The </w:t>
      </w:r>
      <w:proofErr w:type="spellStart"/>
      <w:r w:rsidR="00BE3047" w:rsidRPr="00FA598D">
        <w:rPr>
          <w:rFonts w:asciiTheme="minorHAnsi" w:hAnsiTheme="minorHAnsi" w:cstheme="minorHAnsi"/>
          <w:i/>
          <w:iCs/>
          <w:lang w:val="en-AU"/>
        </w:rPr>
        <w:t>Cairnmillar</w:t>
      </w:r>
      <w:proofErr w:type="spellEnd"/>
      <w:r w:rsidR="00BE3047" w:rsidRPr="00FA598D">
        <w:rPr>
          <w:rFonts w:asciiTheme="minorHAnsi" w:hAnsiTheme="minorHAnsi" w:cstheme="minorHAnsi"/>
          <w:i/>
          <w:iCs/>
          <w:lang w:val="en-AU"/>
        </w:rPr>
        <w:t xml:space="preserve"> Institute</w:t>
      </w:r>
      <w:r w:rsidR="00BE3047" w:rsidRPr="00FA598D">
        <w:rPr>
          <w:rFonts w:asciiTheme="minorHAnsi" w:hAnsiTheme="minorHAnsi" w:cstheme="minorHAnsi"/>
          <w:lang w:val="en-AU"/>
        </w:rPr>
        <w:t xml:space="preserve"> (1990) 90 AT</w:t>
      </w:r>
      <w:r w:rsidR="005F6458">
        <w:rPr>
          <w:rFonts w:asciiTheme="minorHAnsi" w:hAnsiTheme="minorHAnsi" w:cstheme="minorHAnsi"/>
          <w:lang w:val="en-AU"/>
        </w:rPr>
        <w:t xml:space="preserve">R </w:t>
      </w:r>
      <w:r w:rsidR="000649C4">
        <w:rPr>
          <w:rFonts w:asciiTheme="minorHAnsi" w:hAnsiTheme="minorHAnsi" w:cstheme="minorHAnsi"/>
          <w:lang w:val="en-AU"/>
        </w:rPr>
        <w:t>665</w:t>
      </w:r>
      <w:r w:rsidR="00AC2072" w:rsidRPr="00FA598D">
        <w:rPr>
          <w:rFonts w:asciiTheme="minorHAnsi" w:hAnsiTheme="minorHAnsi" w:cstheme="minorHAnsi"/>
          <w:lang w:val="en-AU"/>
        </w:rPr>
        <w:t>,</w:t>
      </w:r>
      <w:r w:rsidR="00F6184B" w:rsidRPr="00FA598D">
        <w:rPr>
          <w:rFonts w:asciiTheme="minorHAnsi" w:hAnsiTheme="minorHAnsi" w:cstheme="minorHAnsi"/>
          <w:lang w:val="en-AU"/>
        </w:rPr>
        <w:t xml:space="preserve"> 682</w:t>
      </w:r>
      <w:r w:rsidR="00AC2072" w:rsidRPr="00FA598D">
        <w:rPr>
          <w:rFonts w:asciiTheme="minorHAnsi" w:hAnsiTheme="minorHAnsi" w:cstheme="minorHAnsi"/>
          <w:lang w:val="en-AU"/>
        </w:rPr>
        <w:t xml:space="preserve"> (</w:t>
      </w:r>
      <w:proofErr w:type="spellStart"/>
      <w:r w:rsidR="00AC2072" w:rsidRPr="00FA598D">
        <w:rPr>
          <w:rFonts w:asciiTheme="minorHAnsi" w:hAnsiTheme="minorHAnsi" w:cstheme="minorHAnsi"/>
          <w:lang w:val="en-AU"/>
        </w:rPr>
        <w:t>McGarvie</w:t>
      </w:r>
      <w:proofErr w:type="spellEnd"/>
      <w:r w:rsidR="00AC2072" w:rsidRPr="00FA598D">
        <w:rPr>
          <w:rFonts w:asciiTheme="minorHAnsi" w:hAnsiTheme="minorHAnsi" w:cstheme="minorHAnsi"/>
          <w:lang w:val="en-AU"/>
        </w:rPr>
        <w:t xml:space="preserve"> J).</w:t>
      </w:r>
    </w:p>
  </w:footnote>
  <w:footnote w:id="11">
    <w:p w14:paraId="1B7D2497" w14:textId="35D4731F" w:rsidR="0004785B" w:rsidRPr="00FA598D" w:rsidRDefault="0004785B">
      <w:pPr>
        <w:pStyle w:val="FootnoteText"/>
        <w:rPr>
          <w:rFonts w:asciiTheme="minorHAnsi" w:hAnsiTheme="minorHAnsi" w:cstheme="minorHAnsi"/>
          <w:lang w:val="en-AU"/>
        </w:rPr>
      </w:pPr>
      <w:r w:rsidRPr="00FA598D">
        <w:rPr>
          <w:rStyle w:val="FootnoteReference"/>
          <w:rFonts w:asciiTheme="minorHAnsi" w:hAnsiTheme="minorHAnsi" w:cstheme="minorHAnsi"/>
        </w:rPr>
        <w:footnoteRef/>
      </w:r>
      <w:r w:rsidRPr="00FA598D">
        <w:rPr>
          <w:rFonts w:asciiTheme="minorHAnsi" w:hAnsiTheme="minorHAnsi" w:cstheme="minorHAnsi"/>
        </w:rPr>
        <w:t xml:space="preserve"> </w:t>
      </w:r>
      <w:r w:rsidR="00F533CE" w:rsidRPr="00FA598D">
        <w:rPr>
          <w:rFonts w:asciiTheme="minorHAnsi" w:hAnsiTheme="minorHAnsi" w:cstheme="minorHAnsi"/>
          <w:i/>
          <w:iCs/>
          <w:lang w:val="en-AU"/>
        </w:rPr>
        <w:t>Marriage Guidance Council of Victoria v Commissioner of Pay-roll Tax</w:t>
      </w:r>
      <w:r w:rsidR="00F533CE" w:rsidRPr="00FA598D">
        <w:rPr>
          <w:rFonts w:asciiTheme="minorHAnsi" w:hAnsiTheme="minorHAnsi" w:cstheme="minorHAnsi"/>
          <w:lang w:val="en-AU"/>
        </w:rPr>
        <w:t xml:space="preserve"> (Vic)</w:t>
      </w:r>
      <w:r w:rsidR="007F7A14" w:rsidRPr="00FA598D">
        <w:rPr>
          <w:rFonts w:asciiTheme="minorHAnsi" w:hAnsiTheme="minorHAnsi" w:cstheme="minorHAnsi"/>
          <w:lang w:val="en-AU"/>
        </w:rPr>
        <w:t xml:space="preserve"> (1990)</w:t>
      </w:r>
      <w:r w:rsidR="00F533CE" w:rsidRPr="00FA598D">
        <w:rPr>
          <w:rFonts w:asciiTheme="minorHAnsi" w:hAnsiTheme="minorHAnsi" w:cstheme="minorHAnsi"/>
          <w:lang w:val="en-AU"/>
        </w:rPr>
        <w:t xml:space="preserve"> </w:t>
      </w:r>
      <w:r w:rsidR="005D4097" w:rsidRPr="00FA598D">
        <w:rPr>
          <w:rFonts w:asciiTheme="minorHAnsi" w:hAnsiTheme="minorHAnsi" w:cstheme="minorHAnsi"/>
          <w:lang w:val="en-AU"/>
        </w:rPr>
        <w:t>21 ATR 1272</w:t>
      </w:r>
      <w:r w:rsidR="00F533CE" w:rsidRPr="00FA598D">
        <w:rPr>
          <w:rFonts w:asciiTheme="minorHAnsi" w:hAnsiTheme="minorHAnsi" w:cstheme="minorHAnsi"/>
          <w:lang w:val="en-AU"/>
        </w:rPr>
        <w:t xml:space="preserve">, </w:t>
      </w:r>
      <w:r w:rsidR="005D4097" w:rsidRPr="00FA598D">
        <w:rPr>
          <w:rFonts w:asciiTheme="minorHAnsi" w:hAnsiTheme="minorHAnsi" w:cstheme="minorHAnsi"/>
          <w:lang w:val="en-AU"/>
        </w:rPr>
        <w:t>1277 (</w:t>
      </w:r>
      <w:proofErr w:type="spellStart"/>
      <w:r w:rsidR="005D4097" w:rsidRPr="00FA598D">
        <w:rPr>
          <w:rFonts w:asciiTheme="minorHAnsi" w:hAnsiTheme="minorHAnsi" w:cstheme="minorHAnsi"/>
          <w:lang w:val="en-AU"/>
        </w:rPr>
        <w:t>McGarvie</w:t>
      </w:r>
      <w:proofErr w:type="spellEnd"/>
      <w:r w:rsidR="005D4097" w:rsidRPr="00FA598D">
        <w:rPr>
          <w:rFonts w:asciiTheme="minorHAnsi" w:hAnsiTheme="minorHAnsi" w:cstheme="minorHAnsi"/>
          <w:lang w:val="en-AU"/>
        </w:rPr>
        <w:t xml:space="preserve"> J)</w:t>
      </w:r>
      <w:r w:rsidR="007F7A14" w:rsidRPr="00FA598D">
        <w:rPr>
          <w:rFonts w:asciiTheme="minorHAnsi" w:hAnsiTheme="minorHAnsi" w:cstheme="minorHAnsi"/>
          <w:lang w:val="en-AU"/>
        </w:rPr>
        <w:t>.</w:t>
      </w:r>
    </w:p>
  </w:footnote>
  <w:footnote w:id="12">
    <w:p w14:paraId="41E7A8EC" w14:textId="3BCBCE6B" w:rsidR="001A115D" w:rsidRPr="00FA598D" w:rsidRDefault="001A115D">
      <w:pPr>
        <w:pStyle w:val="FootnoteText"/>
        <w:rPr>
          <w:rFonts w:asciiTheme="minorHAnsi" w:hAnsiTheme="minorHAnsi" w:cstheme="minorHAnsi"/>
          <w:lang w:val="en-AU"/>
        </w:rPr>
      </w:pPr>
      <w:r w:rsidRPr="00FA598D">
        <w:rPr>
          <w:rStyle w:val="FootnoteReference"/>
          <w:rFonts w:asciiTheme="minorHAnsi" w:hAnsiTheme="minorHAnsi" w:cstheme="minorHAnsi"/>
        </w:rPr>
        <w:footnoteRef/>
      </w:r>
      <w:r w:rsidRPr="00FA598D">
        <w:rPr>
          <w:rFonts w:asciiTheme="minorHAnsi" w:hAnsiTheme="minorHAnsi" w:cstheme="minorHAnsi"/>
        </w:rPr>
        <w:t xml:space="preserve"> </w:t>
      </w:r>
      <w:r w:rsidR="00BA246D" w:rsidRPr="00FA598D">
        <w:rPr>
          <w:rFonts w:asciiTheme="minorHAnsi" w:hAnsiTheme="minorHAnsi" w:cstheme="minorHAnsi"/>
          <w:i/>
          <w:iCs/>
        </w:rPr>
        <w:t xml:space="preserve">Commissioner of Pay-roll Tax (Vic) v The </w:t>
      </w:r>
      <w:proofErr w:type="spellStart"/>
      <w:r w:rsidR="00BA246D" w:rsidRPr="00FA598D">
        <w:rPr>
          <w:rFonts w:asciiTheme="minorHAnsi" w:hAnsiTheme="minorHAnsi" w:cstheme="minorHAnsi"/>
          <w:i/>
          <w:iCs/>
        </w:rPr>
        <w:t>Cairnmillar</w:t>
      </w:r>
      <w:proofErr w:type="spellEnd"/>
      <w:r w:rsidR="00BA246D" w:rsidRPr="00FA598D">
        <w:rPr>
          <w:rFonts w:asciiTheme="minorHAnsi" w:hAnsiTheme="minorHAnsi" w:cstheme="minorHAnsi"/>
          <w:i/>
          <w:iCs/>
        </w:rPr>
        <w:t xml:space="preserve"> Institute</w:t>
      </w:r>
      <w:r w:rsidR="00BA246D" w:rsidRPr="00FA598D">
        <w:rPr>
          <w:rFonts w:asciiTheme="minorHAnsi" w:hAnsiTheme="minorHAnsi" w:cstheme="minorHAnsi"/>
        </w:rPr>
        <w:t xml:space="preserve"> (1990) 90 AT</w:t>
      </w:r>
      <w:r w:rsidR="00CF015B">
        <w:rPr>
          <w:rFonts w:asciiTheme="minorHAnsi" w:hAnsiTheme="minorHAnsi" w:cstheme="minorHAnsi"/>
        </w:rPr>
        <w:t>R 665</w:t>
      </w:r>
      <w:r w:rsidR="00BA246D" w:rsidRPr="00FA598D">
        <w:rPr>
          <w:rFonts w:asciiTheme="minorHAnsi" w:hAnsiTheme="minorHAnsi" w:cstheme="minorHAnsi"/>
        </w:rPr>
        <w:t>, 6</w:t>
      </w:r>
      <w:r w:rsidR="00F04E88">
        <w:rPr>
          <w:rFonts w:asciiTheme="minorHAnsi" w:hAnsiTheme="minorHAnsi" w:cstheme="minorHAnsi"/>
        </w:rPr>
        <w:t>75</w:t>
      </w:r>
      <w:r w:rsidR="00BA246D" w:rsidRPr="00FA598D">
        <w:rPr>
          <w:rFonts w:asciiTheme="minorHAnsi" w:hAnsiTheme="minorHAnsi" w:cstheme="minorHAnsi"/>
        </w:rPr>
        <w:t xml:space="preserve"> (</w:t>
      </w:r>
      <w:proofErr w:type="spellStart"/>
      <w:r w:rsidR="00BA246D" w:rsidRPr="00FA598D">
        <w:rPr>
          <w:rFonts w:asciiTheme="minorHAnsi" w:hAnsiTheme="minorHAnsi" w:cstheme="minorHAnsi"/>
        </w:rPr>
        <w:t>McGarvie</w:t>
      </w:r>
      <w:proofErr w:type="spellEnd"/>
      <w:r w:rsidR="00BA246D" w:rsidRPr="00FA598D">
        <w:rPr>
          <w:rFonts w:asciiTheme="minorHAnsi" w:hAnsiTheme="minorHAnsi" w:cstheme="minorHAnsi"/>
        </w:rPr>
        <w:t xml:space="preserve"> J).</w:t>
      </w:r>
    </w:p>
  </w:footnote>
  <w:footnote w:id="13">
    <w:p w14:paraId="439839FF" w14:textId="6466782C" w:rsidR="00F50D9E" w:rsidRPr="00A34AE3" w:rsidRDefault="00F50D9E">
      <w:pPr>
        <w:pStyle w:val="FootnoteText"/>
        <w:rPr>
          <w:rFonts w:ascii="Calibri" w:hAnsi="Calibri" w:cs="Calibri"/>
          <w:lang w:val="en-AU"/>
        </w:rPr>
      </w:pPr>
      <w:r w:rsidRPr="00A34AE3">
        <w:rPr>
          <w:rStyle w:val="FootnoteReference"/>
          <w:rFonts w:ascii="Calibri" w:hAnsi="Calibri" w:cs="Calibri"/>
        </w:rPr>
        <w:footnoteRef/>
      </w:r>
      <w:r w:rsidRPr="00A34AE3">
        <w:rPr>
          <w:rFonts w:ascii="Calibri" w:hAnsi="Calibri" w:cs="Calibri"/>
        </w:rPr>
        <w:t xml:space="preserve"> </w:t>
      </w:r>
      <w:r w:rsidR="00AC2072" w:rsidRPr="00A34AE3">
        <w:rPr>
          <w:rFonts w:ascii="Calibri" w:hAnsi="Calibri" w:cs="Calibri"/>
          <w:i/>
          <w:iCs/>
          <w:lang w:val="en-AU"/>
        </w:rPr>
        <w:t xml:space="preserve">Commissioner of Pay-roll Tax (Vic) v The </w:t>
      </w:r>
      <w:proofErr w:type="spellStart"/>
      <w:r w:rsidR="00AC2072" w:rsidRPr="00A34AE3">
        <w:rPr>
          <w:rFonts w:ascii="Calibri" w:hAnsi="Calibri" w:cs="Calibri"/>
          <w:i/>
          <w:iCs/>
          <w:lang w:val="en-AU"/>
        </w:rPr>
        <w:t>Cairnmillar</w:t>
      </w:r>
      <w:proofErr w:type="spellEnd"/>
      <w:r w:rsidR="00AC2072" w:rsidRPr="00A34AE3">
        <w:rPr>
          <w:rFonts w:ascii="Calibri" w:hAnsi="Calibri" w:cs="Calibri"/>
          <w:i/>
          <w:iCs/>
          <w:lang w:val="en-AU"/>
        </w:rPr>
        <w:t xml:space="preserve"> Institute</w:t>
      </w:r>
      <w:r w:rsidR="00AC2072" w:rsidRPr="00A34AE3">
        <w:rPr>
          <w:rFonts w:ascii="Calibri" w:hAnsi="Calibri" w:cs="Calibri"/>
          <w:lang w:val="en-AU"/>
        </w:rPr>
        <w:t xml:space="preserve"> (1990) </w:t>
      </w:r>
      <w:r w:rsidR="00CF015B" w:rsidRPr="00A34AE3">
        <w:rPr>
          <w:rFonts w:ascii="Calibri" w:hAnsi="Calibri" w:cs="Calibri"/>
          <w:lang w:val="en-AU"/>
        </w:rPr>
        <w:t xml:space="preserve">90 ATR 665, </w:t>
      </w:r>
      <w:r w:rsidRPr="00A34AE3">
        <w:rPr>
          <w:rFonts w:ascii="Calibri" w:hAnsi="Calibri" w:cs="Calibri"/>
          <w:lang w:val="en-AU"/>
        </w:rPr>
        <w:t>682</w:t>
      </w:r>
      <w:r w:rsidR="00AC2072" w:rsidRPr="00A34AE3">
        <w:rPr>
          <w:rFonts w:ascii="Calibri" w:hAnsi="Calibri" w:cs="Calibri"/>
          <w:lang w:val="en-AU"/>
        </w:rPr>
        <w:t xml:space="preserve"> (</w:t>
      </w:r>
      <w:proofErr w:type="spellStart"/>
      <w:r w:rsidR="00AC2072" w:rsidRPr="00A34AE3">
        <w:rPr>
          <w:rFonts w:ascii="Calibri" w:hAnsi="Calibri" w:cs="Calibri"/>
          <w:lang w:val="en-AU"/>
        </w:rPr>
        <w:t>McGarvie</w:t>
      </w:r>
      <w:proofErr w:type="spellEnd"/>
      <w:r w:rsidR="00AC2072" w:rsidRPr="00A34AE3">
        <w:rPr>
          <w:rFonts w:ascii="Calibri" w:hAnsi="Calibri" w:cs="Calibri"/>
          <w:lang w:val="en-AU"/>
        </w:rPr>
        <w:t xml:space="preserve"> J)</w:t>
      </w:r>
      <w:r w:rsidR="00F51430" w:rsidRPr="00A34AE3">
        <w:rPr>
          <w:rFonts w:ascii="Calibri" w:hAnsi="Calibri" w:cs="Calibri"/>
          <w:lang w:val="en-AU"/>
        </w:rPr>
        <w:t>.</w:t>
      </w:r>
    </w:p>
  </w:footnote>
  <w:footnote w:id="14">
    <w:p w14:paraId="476A68C8" w14:textId="16CC0EDF" w:rsidR="00F51430" w:rsidRPr="00A34AE3" w:rsidRDefault="00F51430">
      <w:pPr>
        <w:pStyle w:val="FootnoteText"/>
        <w:rPr>
          <w:rFonts w:ascii="Calibri" w:hAnsi="Calibri" w:cs="Calibri"/>
          <w:lang w:val="en-AU"/>
        </w:rPr>
      </w:pPr>
      <w:r w:rsidRPr="00A34AE3">
        <w:rPr>
          <w:rStyle w:val="FootnoteReference"/>
          <w:rFonts w:ascii="Calibri" w:hAnsi="Calibri" w:cs="Calibri"/>
        </w:rPr>
        <w:footnoteRef/>
      </w:r>
      <w:r w:rsidRPr="00A34AE3">
        <w:rPr>
          <w:rFonts w:ascii="Calibri" w:hAnsi="Calibri" w:cs="Calibri"/>
        </w:rPr>
        <w:t xml:space="preserve"> </w:t>
      </w:r>
      <w:r w:rsidR="00AC2072" w:rsidRPr="00A34AE3">
        <w:rPr>
          <w:rFonts w:ascii="Calibri" w:hAnsi="Calibri" w:cs="Calibri"/>
          <w:i/>
          <w:iCs/>
          <w:lang w:val="en-AU"/>
        </w:rPr>
        <w:t xml:space="preserve">Commissioner of Pay-roll Tax (Vic) v The </w:t>
      </w:r>
      <w:proofErr w:type="spellStart"/>
      <w:r w:rsidR="00AC2072" w:rsidRPr="00A34AE3">
        <w:rPr>
          <w:rFonts w:ascii="Calibri" w:hAnsi="Calibri" w:cs="Calibri"/>
          <w:i/>
          <w:iCs/>
          <w:lang w:val="en-AU"/>
        </w:rPr>
        <w:t>Cairnmillar</w:t>
      </w:r>
      <w:proofErr w:type="spellEnd"/>
      <w:r w:rsidR="00AC2072" w:rsidRPr="00A34AE3">
        <w:rPr>
          <w:rFonts w:ascii="Calibri" w:hAnsi="Calibri" w:cs="Calibri"/>
          <w:i/>
          <w:iCs/>
          <w:lang w:val="en-AU"/>
        </w:rPr>
        <w:t xml:space="preserve"> Institute</w:t>
      </w:r>
      <w:r w:rsidR="00AC2072" w:rsidRPr="00A34AE3">
        <w:rPr>
          <w:rFonts w:ascii="Calibri" w:hAnsi="Calibri" w:cs="Calibri"/>
          <w:lang w:val="en-AU"/>
        </w:rPr>
        <w:t xml:space="preserve"> (1990) </w:t>
      </w:r>
      <w:r w:rsidR="00CF015B" w:rsidRPr="00A34AE3">
        <w:rPr>
          <w:rFonts w:ascii="Calibri" w:hAnsi="Calibri" w:cs="Calibri"/>
          <w:lang w:val="en-AU"/>
        </w:rPr>
        <w:t xml:space="preserve">90 ATR 665, </w:t>
      </w:r>
      <w:r w:rsidRPr="00A34AE3">
        <w:rPr>
          <w:rFonts w:ascii="Calibri" w:hAnsi="Calibri" w:cs="Calibri"/>
          <w:lang w:val="en-AU"/>
        </w:rPr>
        <w:t>675</w:t>
      </w:r>
      <w:r w:rsidR="00AC2072" w:rsidRPr="00A34AE3">
        <w:rPr>
          <w:rFonts w:ascii="Calibri" w:hAnsi="Calibri" w:cs="Calibri"/>
          <w:lang w:val="en-AU"/>
        </w:rPr>
        <w:t xml:space="preserve"> (</w:t>
      </w:r>
      <w:proofErr w:type="spellStart"/>
      <w:r w:rsidR="00AC2072" w:rsidRPr="00A34AE3">
        <w:rPr>
          <w:rFonts w:ascii="Calibri" w:hAnsi="Calibri" w:cs="Calibri"/>
          <w:lang w:val="en-AU"/>
        </w:rPr>
        <w:t>McGarvie</w:t>
      </w:r>
      <w:proofErr w:type="spellEnd"/>
      <w:r w:rsidR="00AC2072" w:rsidRPr="00A34AE3">
        <w:rPr>
          <w:rFonts w:ascii="Calibri" w:hAnsi="Calibri" w:cs="Calibri"/>
          <w:lang w:val="en-AU"/>
        </w:rPr>
        <w:t xml:space="preserve"> J)</w:t>
      </w:r>
      <w:r w:rsidRPr="00A34AE3">
        <w:rPr>
          <w:rFonts w:ascii="Calibri" w:hAnsi="Calibri" w:cs="Calibri"/>
          <w:lang w:val="en-AU"/>
        </w:rPr>
        <w:t>.</w:t>
      </w:r>
    </w:p>
  </w:footnote>
  <w:footnote w:id="15">
    <w:p w14:paraId="6D476434" w14:textId="2970BBEF" w:rsidR="00F07FE4" w:rsidRPr="00A34AE3" w:rsidRDefault="00F07FE4">
      <w:pPr>
        <w:pStyle w:val="FootnoteText"/>
        <w:rPr>
          <w:rFonts w:ascii="Calibri" w:hAnsi="Calibri" w:cs="Calibri"/>
          <w:lang w:val="en-AU"/>
        </w:rPr>
      </w:pPr>
      <w:r w:rsidRPr="00A34AE3">
        <w:rPr>
          <w:rStyle w:val="FootnoteReference"/>
          <w:rFonts w:ascii="Calibri" w:hAnsi="Calibri" w:cs="Calibri"/>
        </w:rPr>
        <w:footnoteRef/>
      </w:r>
      <w:r w:rsidRPr="00A34AE3">
        <w:rPr>
          <w:rFonts w:ascii="Calibri" w:hAnsi="Calibri" w:cs="Calibri"/>
        </w:rPr>
        <w:t xml:space="preserve"> </w:t>
      </w:r>
      <w:r w:rsidR="003D7E0D" w:rsidRPr="00A34AE3">
        <w:rPr>
          <w:rFonts w:ascii="Calibri" w:hAnsi="Calibri" w:cs="Calibri"/>
          <w:i/>
          <w:iCs/>
        </w:rPr>
        <w:t>Global Citizen Limited v Commissioner of the Australian Charities and Not-for-profits Commission</w:t>
      </w:r>
      <w:r w:rsidR="003D7E0D" w:rsidRPr="00A34AE3">
        <w:rPr>
          <w:rFonts w:ascii="Calibri" w:hAnsi="Calibri" w:cs="Calibri"/>
        </w:rPr>
        <w:t xml:space="preserve"> [2021] AATA 3313 [113] (McCabe DP; O’Connell SM).</w:t>
      </w:r>
    </w:p>
  </w:footnote>
  <w:footnote w:id="16">
    <w:p w14:paraId="4C3B48CC" w14:textId="5C583D3A" w:rsidR="009E5051" w:rsidRPr="00A34AE3" w:rsidRDefault="009E5051">
      <w:pPr>
        <w:pStyle w:val="FootnoteText"/>
        <w:rPr>
          <w:rFonts w:ascii="Calibri" w:hAnsi="Calibri" w:cs="Calibri"/>
          <w:lang w:val="en-AU"/>
        </w:rPr>
      </w:pPr>
      <w:r w:rsidRPr="00A34AE3">
        <w:rPr>
          <w:rStyle w:val="FootnoteReference"/>
          <w:rFonts w:ascii="Calibri" w:hAnsi="Calibri" w:cs="Calibri"/>
        </w:rPr>
        <w:footnoteRef/>
      </w:r>
      <w:r w:rsidRPr="00A34AE3">
        <w:rPr>
          <w:rFonts w:ascii="Calibri" w:hAnsi="Calibri" w:cs="Calibri"/>
        </w:rPr>
        <w:t xml:space="preserve"> </w:t>
      </w:r>
      <w:r w:rsidRPr="00A34AE3">
        <w:rPr>
          <w:rFonts w:ascii="Calibri" w:hAnsi="Calibri" w:cs="Calibri"/>
          <w:lang w:val="en-AU"/>
        </w:rPr>
        <w:t xml:space="preserve">See, for example, </w:t>
      </w:r>
      <w:r w:rsidRPr="00A34AE3">
        <w:rPr>
          <w:rFonts w:ascii="Calibri" w:hAnsi="Calibri" w:cs="Calibri"/>
          <w:i/>
          <w:iCs/>
          <w:lang w:val="en-AU"/>
        </w:rPr>
        <w:t xml:space="preserve">Australian Council </w:t>
      </w:r>
      <w:r w:rsidR="00363ED8" w:rsidRPr="00A34AE3">
        <w:rPr>
          <w:rFonts w:ascii="Calibri" w:hAnsi="Calibri" w:cs="Calibri"/>
          <w:i/>
          <w:iCs/>
          <w:lang w:val="en-AU"/>
        </w:rPr>
        <w:t>for Overseas Aid v Federal Commissioner of Taxation</w:t>
      </w:r>
      <w:r w:rsidR="00363ED8" w:rsidRPr="00A34AE3">
        <w:rPr>
          <w:rFonts w:ascii="Calibri" w:hAnsi="Calibri" w:cs="Calibri"/>
          <w:lang w:val="en-AU"/>
        </w:rPr>
        <w:t xml:space="preserve"> (1980) 49 FLR 27.</w:t>
      </w:r>
    </w:p>
  </w:footnote>
  <w:footnote w:id="17">
    <w:p w14:paraId="4BE634DC" w14:textId="77777777" w:rsidR="000F04A4" w:rsidRPr="00A34AE3" w:rsidRDefault="000F04A4" w:rsidP="000F04A4">
      <w:pPr>
        <w:pStyle w:val="FootnoteText"/>
        <w:rPr>
          <w:rFonts w:ascii="Calibri" w:hAnsi="Calibri" w:cs="Calibri"/>
          <w:lang w:val="en-AU"/>
        </w:rPr>
      </w:pPr>
      <w:r w:rsidRPr="00A34AE3">
        <w:rPr>
          <w:rStyle w:val="FootnoteReference"/>
          <w:rFonts w:ascii="Calibri" w:hAnsi="Calibri" w:cs="Calibri"/>
        </w:rPr>
        <w:footnoteRef/>
      </w:r>
      <w:r w:rsidRPr="00A34AE3">
        <w:rPr>
          <w:rFonts w:ascii="Calibri" w:hAnsi="Calibri" w:cs="Calibri"/>
        </w:rPr>
        <w:t xml:space="preserve"> </w:t>
      </w:r>
      <w:r w:rsidRPr="00A34AE3">
        <w:rPr>
          <w:rFonts w:ascii="Calibri" w:hAnsi="Calibri" w:cs="Calibri"/>
          <w:i/>
          <w:iCs/>
        </w:rPr>
        <w:t>The Hunger Project Australia v Federal Commissioner of Taxation</w:t>
      </w:r>
      <w:r w:rsidRPr="00A34AE3">
        <w:rPr>
          <w:rFonts w:ascii="Calibri" w:hAnsi="Calibri" w:cs="Calibri"/>
        </w:rPr>
        <w:t xml:space="preserve"> (2013) 94 ATR 855.</w:t>
      </w:r>
    </w:p>
  </w:footnote>
  <w:footnote w:id="18">
    <w:p w14:paraId="5986B77C" w14:textId="77777777" w:rsidR="000F04A4" w:rsidRPr="00A34AE3" w:rsidRDefault="000F04A4" w:rsidP="000F04A4">
      <w:pPr>
        <w:pStyle w:val="FootnoteText"/>
        <w:rPr>
          <w:rFonts w:ascii="Calibri" w:hAnsi="Calibri" w:cs="Calibri"/>
          <w:lang w:val="en-AU"/>
        </w:rPr>
      </w:pPr>
      <w:r w:rsidRPr="00A34AE3">
        <w:rPr>
          <w:rStyle w:val="FootnoteReference"/>
          <w:rFonts w:ascii="Calibri" w:hAnsi="Calibri" w:cs="Calibri"/>
        </w:rPr>
        <w:footnoteRef/>
      </w:r>
      <w:r w:rsidRPr="00A34AE3">
        <w:rPr>
          <w:rFonts w:ascii="Calibri" w:hAnsi="Calibri" w:cs="Calibri"/>
        </w:rPr>
        <w:t xml:space="preserve"> </w:t>
      </w:r>
      <w:r w:rsidRPr="00A34AE3">
        <w:rPr>
          <w:rFonts w:ascii="Calibri" w:hAnsi="Calibri" w:cs="Calibri"/>
          <w:i/>
          <w:iCs/>
          <w:lang w:val="en-AU"/>
        </w:rPr>
        <w:t>The Hunger Project Australia v Federal Commissioner of Taxation</w:t>
      </w:r>
      <w:r w:rsidRPr="00A34AE3">
        <w:rPr>
          <w:rFonts w:ascii="Calibri" w:hAnsi="Calibri" w:cs="Calibri"/>
          <w:lang w:val="en-AU"/>
        </w:rPr>
        <w:t xml:space="preserve"> (2013) 94 ATR 855 [126] (</w:t>
      </w:r>
      <w:proofErr w:type="spellStart"/>
      <w:r w:rsidRPr="00A34AE3">
        <w:rPr>
          <w:rFonts w:ascii="Calibri" w:hAnsi="Calibri" w:cs="Calibri"/>
          <w:lang w:val="en-AU"/>
        </w:rPr>
        <w:t>Perram</w:t>
      </w:r>
      <w:proofErr w:type="spellEnd"/>
      <w:r w:rsidRPr="00A34AE3">
        <w:rPr>
          <w:rFonts w:ascii="Calibri" w:hAnsi="Calibri" w:cs="Calibri"/>
          <w:lang w:val="en-AU"/>
        </w:rPr>
        <w:t xml:space="preserve"> J).</w:t>
      </w:r>
    </w:p>
  </w:footnote>
  <w:footnote w:id="19">
    <w:p w14:paraId="2039E88A" w14:textId="77777777" w:rsidR="000F04A4" w:rsidRPr="00A77C8D" w:rsidRDefault="000F04A4" w:rsidP="000F04A4">
      <w:pPr>
        <w:pStyle w:val="FootnoteText"/>
        <w:rPr>
          <w:lang w:val="en-AU"/>
        </w:rPr>
      </w:pPr>
      <w:r w:rsidRPr="00A34AE3">
        <w:rPr>
          <w:rStyle w:val="FootnoteReference"/>
          <w:rFonts w:ascii="Calibri" w:hAnsi="Calibri" w:cs="Calibri"/>
        </w:rPr>
        <w:footnoteRef/>
      </w:r>
      <w:r w:rsidRPr="00A34AE3">
        <w:rPr>
          <w:rFonts w:ascii="Calibri" w:hAnsi="Calibri" w:cs="Calibri"/>
        </w:rPr>
        <w:t xml:space="preserve"> </w:t>
      </w:r>
      <w:r w:rsidRPr="00A34AE3">
        <w:rPr>
          <w:rFonts w:ascii="Calibri" w:hAnsi="Calibri" w:cs="Calibri"/>
          <w:i/>
          <w:iCs/>
        </w:rPr>
        <w:t>Global Citizen Limited v Commissioner of the Australian Charities and Not-for-profits Commission</w:t>
      </w:r>
      <w:r w:rsidRPr="00A34AE3">
        <w:rPr>
          <w:rFonts w:ascii="Calibri" w:hAnsi="Calibri" w:cs="Calibri"/>
        </w:rPr>
        <w:t xml:space="preserve"> [2021] AATA 3313 (McCabe DP; O’Connell SM).</w:t>
      </w:r>
    </w:p>
  </w:footnote>
  <w:footnote w:id="20">
    <w:p w14:paraId="689ABD76" w14:textId="77777777" w:rsidR="000F04A4" w:rsidRPr="00A34AE3" w:rsidRDefault="000F04A4" w:rsidP="000F04A4">
      <w:pPr>
        <w:pStyle w:val="FootnoteText"/>
        <w:rPr>
          <w:rFonts w:ascii="Calibri" w:hAnsi="Calibri" w:cs="Calibri"/>
          <w:lang w:val="en-AU"/>
        </w:rPr>
      </w:pPr>
      <w:r w:rsidRPr="00A34AE3">
        <w:rPr>
          <w:rStyle w:val="FootnoteReference"/>
          <w:rFonts w:ascii="Calibri" w:hAnsi="Calibri" w:cs="Calibri"/>
        </w:rPr>
        <w:footnoteRef/>
      </w:r>
      <w:r w:rsidRPr="00A34AE3">
        <w:rPr>
          <w:rFonts w:ascii="Calibri" w:hAnsi="Calibri" w:cs="Calibri"/>
        </w:rPr>
        <w:t xml:space="preserve"> </w:t>
      </w:r>
      <w:r w:rsidRPr="00A34AE3">
        <w:rPr>
          <w:rFonts w:ascii="Calibri" w:hAnsi="Calibri" w:cs="Calibri"/>
          <w:i/>
          <w:iCs/>
          <w:lang w:val="en-AU"/>
        </w:rPr>
        <w:t>Global Citizen Limited v Commissioner of the Australian Charities and Not-for-profits Commission</w:t>
      </w:r>
      <w:r w:rsidRPr="00A34AE3">
        <w:rPr>
          <w:rFonts w:ascii="Calibri" w:hAnsi="Calibri" w:cs="Calibri"/>
          <w:lang w:val="en-AU"/>
        </w:rPr>
        <w:t xml:space="preserve"> [2021] AATA 3313 [98] (McCabe DP; O’Connell SM).</w:t>
      </w:r>
    </w:p>
  </w:footnote>
  <w:footnote w:id="21">
    <w:p w14:paraId="18850B3A" w14:textId="15780FEB" w:rsidR="00140D40" w:rsidRPr="00B334E7" w:rsidRDefault="00140D40">
      <w:pPr>
        <w:pStyle w:val="FootnoteText"/>
        <w:rPr>
          <w:rFonts w:ascii="Calibri" w:hAnsi="Calibri" w:cs="Calibri"/>
          <w:lang w:val="en-AU"/>
        </w:rPr>
      </w:pPr>
      <w:r w:rsidRPr="00B334E7">
        <w:rPr>
          <w:rStyle w:val="FootnoteReference"/>
          <w:rFonts w:ascii="Calibri" w:hAnsi="Calibri" w:cs="Calibri"/>
        </w:rPr>
        <w:footnoteRef/>
      </w:r>
      <w:r w:rsidRPr="00B334E7">
        <w:rPr>
          <w:rFonts w:ascii="Calibri" w:hAnsi="Calibri" w:cs="Calibri"/>
        </w:rPr>
        <w:t xml:space="preserve"> </w:t>
      </w:r>
      <w:r w:rsidRPr="00B334E7">
        <w:rPr>
          <w:rFonts w:ascii="Calibri" w:hAnsi="Calibri" w:cs="Calibri"/>
          <w:i/>
          <w:iCs/>
        </w:rPr>
        <w:t>Global Citizen Limited v Commissioner of the Australian Charities and Not-for-profits Commission</w:t>
      </w:r>
      <w:r w:rsidRPr="00B334E7">
        <w:rPr>
          <w:rFonts w:ascii="Calibri" w:hAnsi="Calibri" w:cs="Calibri"/>
        </w:rPr>
        <w:t xml:space="preserve"> [2021] AATA 3313, [125] (McCabe DP; O’Connell SM).</w:t>
      </w:r>
    </w:p>
  </w:footnote>
  <w:footnote w:id="22">
    <w:p w14:paraId="0430717B" w14:textId="77777777" w:rsidR="00985154" w:rsidRPr="00A34AE3" w:rsidRDefault="00985154" w:rsidP="00985154">
      <w:pPr>
        <w:pStyle w:val="FootnoteText"/>
        <w:rPr>
          <w:rFonts w:ascii="Calibri" w:hAnsi="Calibri" w:cs="Calibri"/>
          <w:lang w:val="en-AU"/>
        </w:rPr>
      </w:pPr>
      <w:r w:rsidRPr="00A34AE3">
        <w:rPr>
          <w:rStyle w:val="FootnoteReference"/>
          <w:rFonts w:ascii="Calibri" w:hAnsi="Calibri" w:cs="Calibri"/>
        </w:rPr>
        <w:footnoteRef/>
      </w:r>
      <w:r w:rsidRPr="00A34AE3">
        <w:rPr>
          <w:rFonts w:ascii="Calibri" w:hAnsi="Calibri" w:cs="Calibri"/>
        </w:rPr>
        <w:t xml:space="preserve"> </w:t>
      </w:r>
      <w:r w:rsidRPr="00A34AE3">
        <w:rPr>
          <w:rFonts w:ascii="Calibri" w:hAnsi="Calibri" w:cs="Calibri"/>
          <w:i/>
          <w:iCs/>
        </w:rPr>
        <w:t>Australians for Indigenous Constitutional Recognition Ltd v Commissioner of the Australian Charities and Not-for-profits Commission</w:t>
      </w:r>
      <w:r w:rsidRPr="00A34AE3">
        <w:rPr>
          <w:rFonts w:ascii="Calibri" w:hAnsi="Calibri" w:cs="Calibri"/>
        </w:rPr>
        <w:t xml:space="preserve"> [2021] FCA 435, [26] (</w:t>
      </w:r>
      <w:proofErr w:type="spellStart"/>
      <w:r w:rsidRPr="00A34AE3">
        <w:rPr>
          <w:rFonts w:ascii="Calibri" w:hAnsi="Calibri" w:cs="Calibri"/>
        </w:rPr>
        <w:t>Thawley</w:t>
      </w:r>
      <w:proofErr w:type="spellEnd"/>
      <w:r w:rsidRPr="00A34AE3">
        <w:rPr>
          <w:rFonts w:ascii="Calibri" w:hAnsi="Calibri" w:cs="Calibri"/>
        </w:rPr>
        <w:t xml:space="preserve"> J). </w:t>
      </w:r>
    </w:p>
  </w:footnote>
  <w:footnote w:id="23">
    <w:p w14:paraId="517E3C0C" w14:textId="132FCDB5" w:rsidR="00985154" w:rsidRPr="00A34AE3" w:rsidRDefault="00985154" w:rsidP="00985154">
      <w:pPr>
        <w:pStyle w:val="FootnoteText"/>
        <w:rPr>
          <w:rFonts w:ascii="Calibri" w:hAnsi="Calibri" w:cs="Calibri"/>
          <w:lang w:val="en-AU"/>
        </w:rPr>
      </w:pPr>
      <w:r w:rsidRPr="00A34AE3">
        <w:rPr>
          <w:rStyle w:val="FootnoteReference"/>
          <w:rFonts w:ascii="Calibri" w:hAnsi="Calibri" w:cs="Calibri"/>
        </w:rPr>
        <w:footnoteRef/>
      </w:r>
      <w:r w:rsidRPr="00A34AE3">
        <w:rPr>
          <w:rFonts w:ascii="Calibri" w:hAnsi="Calibri" w:cs="Calibri"/>
        </w:rPr>
        <w:t xml:space="preserve"> </w:t>
      </w:r>
      <w:r w:rsidR="001A307C" w:rsidRPr="00A34AE3">
        <w:rPr>
          <w:rFonts w:ascii="Calibri" w:hAnsi="Calibri" w:cs="Calibri"/>
          <w:i/>
          <w:iCs/>
        </w:rPr>
        <w:t>Global Citizen Limited v Commissioner of the Australian Charities and Not-for-profits Commission</w:t>
      </w:r>
      <w:r w:rsidR="001A307C" w:rsidRPr="00A34AE3">
        <w:rPr>
          <w:rFonts w:ascii="Calibri" w:hAnsi="Calibri" w:cs="Calibri"/>
        </w:rPr>
        <w:t xml:space="preserve"> [2021] AATA 3313 [</w:t>
      </w:r>
      <w:r w:rsidR="0006539A" w:rsidRPr="00A34AE3">
        <w:rPr>
          <w:rFonts w:ascii="Calibri" w:hAnsi="Calibri" w:cs="Calibri"/>
        </w:rPr>
        <w:t>115</w:t>
      </w:r>
      <w:r w:rsidR="001A307C" w:rsidRPr="00A34AE3">
        <w:rPr>
          <w:rFonts w:ascii="Calibri" w:hAnsi="Calibri" w:cs="Calibri"/>
        </w:rPr>
        <w:t>] (McCabe DP; O’Connell SM).</w:t>
      </w:r>
    </w:p>
  </w:footnote>
  <w:footnote w:id="24">
    <w:p w14:paraId="1FA200BC" w14:textId="303856BC" w:rsidR="00DF563A" w:rsidRPr="00DF563A" w:rsidRDefault="00DF563A">
      <w:pPr>
        <w:pStyle w:val="FootnoteText"/>
        <w:rPr>
          <w:lang w:val="en-AU"/>
        </w:rPr>
      </w:pPr>
      <w:r w:rsidRPr="00A34AE3">
        <w:rPr>
          <w:rStyle w:val="FootnoteReference"/>
          <w:rFonts w:ascii="Calibri" w:hAnsi="Calibri" w:cs="Calibri"/>
        </w:rPr>
        <w:footnoteRef/>
      </w:r>
      <w:r w:rsidRPr="00A34AE3">
        <w:rPr>
          <w:rFonts w:ascii="Calibri" w:hAnsi="Calibri" w:cs="Calibri"/>
        </w:rPr>
        <w:t xml:space="preserve"> </w:t>
      </w:r>
      <w:r w:rsidRPr="00A34AE3">
        <w:rPr>
          <w:rFonts w:ascii="Calibri" w:hAnsi="Calibri" w:cs="Calibri"/>
          <w:lang w:val="en-AU"/>
        </w:rPr>
        <w:t xml:space="preserve">See, for example, </w:t>
      </w:r>
      <w:r w:rsidR="00087764" w:rsidRPr="00A34AE3">
        <w:rPr>
          <w:rFonts w:ascii="Calibri" w:hAnsi="Calibri" w:cs="Calibri"/>
          <w:i/>
          <w:iCs/>
          <w:lang w:val="en-AU"/>
        </w:rPr>
        <w:t>Marriage Guidance Council of Victoria v Commissioner of Pay-roll Tax</w:t>
      </w:r>
      <w:r w:rsidR="00087764" w:rsidRPr="00A34AE3">
        <w:rPr>
          <w:rFonts w:ascii="Calibri" w:hAnsi="Calibri" w:cs="Calibri"/>
          <w:lang w:val="en-AU"/>
        </w:rPr>
        <w:t xml:space="preserve"> (Vic) (1990) 21 ATR 1272, 1277 (</w:t>
      </w:r>
      <w:proofErr w:type="spellStart"/>
      <w:r w:rsidR="00087764" w:rsidRPr="00A34AE3">
        <w:rPr>
          <w:rFonts w:ascii="Calibri" w:hAnsi="Calibri" w:cs="Calibri"/>
          <w:lang w:val="en-AU"/>
        </w:rPr>
        <w:t>McGarvie</w:t>
      </w:r>
      <w:proofErr w:type="spellEnd"/>
      <w:r w:rsidR="00087764" w:rsidRPr="00A34AE3">
        <w:rPr>
          <w:rFonts w:ascii="Calibri" w:hAnsi="Calibri" w:cs="Calibri"/>
          <w:lang w:val="en-AU"/>
        </w:rPr>
        <w:t xml:space="preserve"> J)</w:t>
      </w:r>
      <w:r w:rsidR="00506C51" w:rsidRPr="00A34AE3">
        <w:rPr>
          <w:rFonts w:ascii="Calibri" w:hAnsi="Calibri" w:cs="Calibri"/>
          <w:lang w:val="en-AU"/>
        </w:rPr>
        <w:t xml:space="preserve">; </w:t>
      </w:r>
      <w:r w:rsidR="00195CAC" w:rsidRPr="00A34AE3">
        <w:rPr>
          <w:rFonts w:ascii="Calibri" w:hAnsi="Calibri" w:cs="Calibri"/>
          <w:i/>
          <w:iCs/>
          <w:lang w:val="en-AU"/>
        </w:rPr>
        <w:t>Case L21</w:t>
      </w:r>
      <w:r w:rsidR="00195CAC" w:rsidRPr="00A34AE3">
        <w:rPr>
          <w:rFonts w:ascii="Calibri" w:hAnsi="Calibri" w:cs="Calibri"/>
          <w:lang w:val="en-AU"/>
        </w:rPr>
        <w:t xml:space="preserve"> (1960) 11 TBRD 117, </w:t>
      </w:r>
      <w:r w:rsidR="00964375" w:rsidRPr="00A34AE3">
        <w:rPr>
          <w:rFonts w:ascii="Calibri" w:hAnsi="Calibri" w:cs="Calibri"/>
          <w:lang w:val="en-AU"/>
        </w:rPr>
        <w:t>121 (Owen M)</w:t>
      </w:r>
      <w:r w:rsidR="00DF4383" w:rsidRPr="00A34AE3">
        <w:rPr>
          <w:rFonts w:ascii="Calibri" w:hAnsi="Calibri" w:cs="Calibri"/>
          <w:lang w:val="en-AU"/>
        </w:rPr>
        <w:t>.</w:t>
      </w:r>
    </w:p>
  </w:footnote>
  <w:footnote w:id="25">
    <w:p w14:paraId="53A8C81B" w14:textId="5D9E3666" w:rsidR="00474281" w:rsidRPr="00BE03F2" w:rsidRDefault="00474281">
      <w:pPr>
        <w:pStyle w:val="FootnoteText"/>
        <w:rPr>
          <w:rFonts w:ascii="Calibri" w:hAnsi="Calibri" w:cs="Calibri"/>
          <w:lang w:val="en-AU"/>
        </w:rPr>
      </w:pPr>
      <w:r w:rsidRPr="00BE03F2">
        <w:rPr>
          <w:rStyle w:val="FootnoteReference"/>
          <w:rFonts w:ascii="Calibri" w:hAnsi="Calibri" w:cs="Calibri"/>
        </w:rPr>
        <w:footnoteRef/>
      </w:r>
      <w:r w:rsidRPr="00BE03F2">
        <w:rPr>
          <w:rFonts w:ascii="Calibri" w:hAnsi="Calibri" w:cs="Calibri"/>
        </w:rPr>
        <w:t xml:space="preserve"> </w:t>
      </w:r>
      <w:r w:rsidRPr="00BE03F2">
        <w:rPr>
          <w:rFonts w:ascii="Calibri" w:hAnsi="Calibri" w:cs="Calibri"/>
          <w:i/>
          <w:iCs/>
        </w:rPr>
        <w:t>Federal Commissioner of Taxation v Launceston Legacy</w:t>
      </w:r>
      <w:r w:rsidRPr="00BE03F2">
        <w:rPr>
          <w:rFonts w:ascii="Calibri" w:hAnsi="Calibri" w:cs="Calibri"/>
        </w:rPr>
        <w:t xml:space="preserve"> (1987) 75 ALR 122 (Northrop J).</w:t>
      </w:r>
    </w:p>
  </w:footnote>
  <w:footnote w:id="26">
    <w:p w14:paraId="233C127D" w14:textId="3040EDB3" w:rsidR="00B831CB" w:rsidRPr="006529F8" w:rsidRDefault="00B831CB">
      <w:pPr>
        <w:pStyle w:val="FootnoteText"/>
        <w:rPr>
          <w:rFonts w:ascii="Calibri" w:hAnsi="Calibri" w:cs="Calibri"/>
          <w:lang w:val="en-AU"/>
        </w:rPr>
      </w:pPr>
      <w:r w:rsidRPr="006529F8">
        <w:rPr>
          <w:rStyle w:val="FootnoteReference"/>
          <w:rFonts w:ascii="Calibri" w:hAnsi="Calibri" w:cs="Calibri"/>
        </w:rPr>
        <w:footnoteRef/>
      </w:r>
      <w:r w:rsidRPr="006529F8">
        <w:rPr>
          <w:rFonts w:ascii="Calibri" w:hAnsi="Calibri" w:cs="Calibri"/>
        </w:rPr>
        <w:t xml:space="preserve"> </w:t>
      </w:r>
      <w:r w:rsidR="007234D3" w:rsidRPr="006529F8">
        <w:rPr>
          <w:rFonts w:ascii="Calibri" w:hAnsi="Calibri" w:cs="Calibri"/>
          <w:i/>
          <w:iCs/>
        </w:rPr>
        <w:t xml:space="preserve">Federal Commissioner of Taxation v Launceston Legacy </w:t>
      </w:r>
      <w:r w:rsidR="007234D3" w:rsidRPr="006529F8">
        <w:rPr>
          <w:rFonts w:ascii="Calibri" w:hAnsi="Calibri" w:cs="Calibri"/>
        </w:rPr>
        <w:t xml:space="preserve">(1987) </w:t>
      </w:r>
      <w:r w:rsidR="00831C82" w:rsidRPr="006529F8">
        <w:rPr>
          <w:rFonts w:ascii="Calibri" w:hAnsi="Calibri" w:cs="Calibri"/>
        </w:rPr>
        <w:t>75 ALR 122</w:t>
      </w:r>
      <w:r w:rsidR="007234D3" w:rsidRPr="006529F8">
        <w:rPr>
          <w:rFonts w:ascii="Calibri" w:hAnsi="Calibri" w:cs="Calibri"/>
        </w:rPr>
        <w:t>,</w:t>
      </w:r>
      <w:r w:rsidR="00831C82" w:rsidRPr="006529F8">
        <w:rPr>
          <w:rFonts w:ascii="Calibri" w:hAnsi="Calibri" w:cs="Calibri"/>
        </w:rPr>
        <w:t xml:space="preserve"> </w:t>
      </w:r>
      <w:r w:rsidR="009A4D90" w:rsidRPr="006529F8">
        <w:rPr>
          <w:rFonts w:ascii="Calibri" w:hAnsi="Calibri" w:cs="Calibri"/>
        </w:rPr>
        <w:t>13</w:t>
      </w:r>
      <w:r w:rsidR="002C4F78" w:rsidRPr="006529F8">
        <w:rPr>
          <w:rFonts w:ascii="Calibri" w:hAnsi="Calibri" w:cs="Calibri"/>
        </w:rPr>
        <w:t>8</w:t>
      </w:r>
      <w:r w:rsidR="009A4D90" w:rsidRPr="006529F8">
        <w:rPr>
          <w:rFonts w:ascii="Calibri" w:hAnsi="Calibri" w:cs="Calibri"/>
        </w:rPr>
        <w:t xml:space="preserve"> (Northrop J).</w:t>
      </w:r>
      <w:r w:rsidR="007234D3" w:rsidRPr="006529F8">
        <w:rPr>
          <w:rFonts w:ascii="Calibri" w:hAnsi="Calibri" w:cs="Calibri"/>
        </w:rPr>
        <w:t xml:space="preserve"> </w:t>
      </w:r>
    </w:p>
  </w:footnote>
  <w:footnote w:id="27">
    <w:p w14:paraId="12F78BA8" w14:textId="51CCFFC5" w:rsidR="00594E49" w:rsidRPr="006529F8" w:rsidRDefault="00594E49">
      <w:pPr>
        <w:pStyle w:val="FootnoteText"/>
        <w:rPr>
          <w:rFonts w:ascii="Calibri" w:hAnsi="Calibri" w:cs="Calibri"/>
          <w:lang w:val="en-AU"/>
        </w:rPr>
      </w:pPr>
      <w:r w:rsidRPr="006529F8">
        <w:rPr>
          <w:rStyle w:val="FootnoteReference"/>
          <w:rFonts w:ascii="Calibri" w:hAnsi="Calibri" w:cs="Calibri"/>
        </w:rPr>
        <w:footnoteRef/>
      </w:r>
      <w:r w:rsidRPr="006529F8">
        <w:rPr>
          <w:rFonts w:ascii="Calibri" w:hAnsi="Calibri" w:cs="Calibri"/>
        </w:rPr>
        <w:t xml:space="preserve"> </w:t>
      </w:r>
      <w:proofErr w:type="spellStart"/>
      <w:r w:rsidRPr="006529F8">
        <w:rPr>
          <w:rFonts w:ascii="Calibri" w:hAnsi="Calibri" w:cs="Calibri"/>
          <w:i/>
          <w:iCs/>
        </w:rPr>
        <w:t>Tangentyere</w:t>
      </w:r>
      <w:proofErr w:type="spellEnd"/>
      <w:r w:rsidRPr="006529F8">
        <w:rPr>
          <w:rFonts w:ascii="Calibri" w:hAnsi="Calibri" w:cs="Calibri"/>
          <w:i/>
          <w:iCs/>
        </w:rPr>
        <w:t xml:space="preserve"> Council Inc v Commissioner of Taxes</w:t>
      </w:r>
      <w:r w:rsidRPr="006529F8">
        <w:rPr>
          <w:rFonts w:ascii="Calibri" w:hAnsi="Calibri" w:cs="Calibri"/>
        </w:rPr>
        <w:t xml:space="preserve"> (1990) 21 ATR 239,</w:t>
      </w:r>
      <w:r w:rsidR="00AF5329" w:rsidRPr="006529F8">
        <w:rPr>
          <w:rFonts w:ascii="Calibri" w:hAnsi="Calibri" w:cs="Calibri"/>
        </w:rPr>
        <w:t xml:space="preserve"> 248 (Angel J).</w:t>
      </w:r>
    </w:p>
  </w:footnote>
  <w:footnote w:id="28">
    <w:p w14:paraId="1137E549" w14:textId="12B6EA61" w:rsidR="00F6084A" w:rsidRPr="00B60095" w:rsidRDefault="00F6084A">
      <w:pPr>
        <w:pStyle w:val="FootnoteText"/>
        <w:rPr>
          <w:rFonts w:asciiTheme="minorHAnsi" w:hAnsiTheme="minorHAnsi" w:cstheme="minorHAnsi"/>
          <w:lang w:val="en-AU"/>
        </w:rPr>
      </w:pPr>
      <w:r w:rsidRPr="00B60095">
        <w:rPr>
          <w:rStyle w:val="FootnoteReference"/>
          <w:rFonts w:asciiTheme="minorHAnsi" w:hAnsiTheme="minorHAnsi" w:cstheme="minorHAnsi"/>
        </w:rPr>
        <w:footnoteRef/>
      </w:r>
      <w:r w:rsidRPr="00B60095">
        <w:rPr>
          <w:rFonts w:asciiTheme="minorHAnsi" w:hAnsiTheme="minorHAnsi" w:cstheme="minorHAnsi"/>
        </w:rPr>
        <w:t xml:space="preserve"> </w:t>
      </w:r>
      <w:r w:rsidRPr="00B60095">
        <w:rPr>
          <w:rFonts w:asciiTheme="minorHAnsi" w:hAnsiTheme="minorHAnsi" w:cstheme="minorHAnsi"/>
          <w:lang w:val="en-AU"/>
        </w:rPr>
        <w:t xml:space="preserve">See, for example, </w:t>
      </w:r>
      <w:r w:rsidRPr="00B60095">
        <w:rPr>
          <w:rFonts w:asciiTheme="minorHAnsi" w:hAnsiTheme="minorHAnsi" w:cstheme="minorHAnsi"/>
          <w:i/>
          <w:iCs/>
          <w:lang w:val="en-AU"/>
        </w:rPr>
        <w:t>City of Hawthorn v Victorian Welfare Association</w:t>
      </w:r>
      <w:r w:rsidR="00B60095" w:rsidRPr="00B60095">
        <w:rPr>
          <w:rFonts w:asciiTheme="minorHAnsi" w:hAnsiTheme="minorHAnsi" w:cstheme="minorHAnsi"/>
          <w:lang w:val="en-AU"/>
        </w:rPr>
        <w:t xml:space="preserve"> [1970] VR 205, 208-9 (Smith J).</w:t>
      </w:r>
    </w:p>
  </w:footnote>
  <w:footnote w:id="29">
    <w:p w14:paraId="183B5695" w14:textId="15D13F1D" w:rsidR="00974094" w:rsidRPr="00974094" w:rsidRDefault="00974094">
      <w:pPr>
        <w:pStyle w:val="FootnoteText"/>
        <w:rPr>
          <w:lang w:val="en-AU"/>
        </w:rPr>
      </w:pPr>
      <w:r w:rsidRPr="006529F8">
        <w:rPr>
          <w:rStyle w:val="FootnoteReference"/>
          <w:rFonts w:ascii="Calibri" w:hAnsi="Calibri" w:cs="Calibri"/>
        </w:rPr>
        <w:footnoteRef/>
      </w:r>
      <w:r w:rsidRPr="006529F8">
        <w:rPr>
          <w:rFonts w:ascii="Calibri" w:hAnsi="Calibri" w:cs="Calibri"/>
        </w:rPr>
        <w:t xml:space="preserve"> </w:t>
      </w:r>
      <w:r w:rsidR="00C97E29" w:rsidRPr="006529F8">
        <w:rPr>
          <w:rFonts w:ascii="Calibri" w:hAnsi="Calibri" w:cs="Calibri"/>
          <w:i/>
          <w:iCs/>
          <w:lang w:val="en-AU"/>
        </w:rPr>
        <w:t xml:space="preserve">Australian Council of Social Service Inc v Commissioner of Pay-roll Tax </w:t>
      </w:r>
      <w:r w:rsidR="00C97E29" w:rsidRPr="006529F8">
        <w:rPr>
          <w:rFonts w:ascii="Calibri" w:hAnsi="Calibri" w:cs="Calibri"/>
          <w:lang w:val="en-AU"/>
        </w:rPr>
        <w:t>(1985) 1 NSWLR 567, 575 (Priestley JA</w:t>
      </w:r>
      <w:r w:rsidR="0073615A" w:rsidRPr="006529F8">
        <w:rPr>
          <w:rFonts w:ascii="Calibri" w:hAnsi="Calibri" w:cs="Calibri"/>
          <w:lang w:val="en-AU"/>
        </w:rPr>
        <w:t xml:space="preserve">; Mahoney JA </w:t>
      </w:r>
      <w:r w:rsidR="009956FD" w:rsidRPr="006529F8">
        <w:rPr>
          <w:rFonts w:ascii="Calibri" w:hAnsi="Calibri" w:cs="Calibri"/>
          <w:lang w:val="en-AU"/>
        </w:rPr>
        <w:t>agree</w:t>
      </w:r>
      <w:r w:rsidR="0073615A" w:rsidRPr="006529F8">
        <w:rPr>
          <w:rFonts w:ascii="Calibri" w:hAnsi="Calibri" w:cs="Calibri"/>
          <w:lang w:val="en-AU"/>
        </w:rPr>
        <w:t>ing</w:t>
      </w:r>
      <w:r w:rsidR="00C97E29" w:rsidRPr="006529F8">
        <w:rPr>
          <w:rFonts w:ascii="Calibri" w:hAnsi="Calibri" w:cs="Calibri"/>
          <w:lang w:val="en-AU"/>
        </w:rPr>
        <w:t>)</w:t>
      </w:r>
      <w:r w:rsidR="0073615A" w:rsidRPr="006529F8">
        <w:rPr>
          <w:rFonts w:ascii="Calibri" w:hAnsi="Calibri" w:cs="Calibri"/>
          <w:lang w:val="en-AU"/>
        </w:rPr>
        <w:t>.</w:t>
      </w:r>
    </w:p>
  </w:footnote>
  <w:footnote w:id="30">
    <w:p w14:paraId="39E967E2" w14:textId="43AC2FEF" w:rsidR="002A0387" w:rsidRPr="00F60C6D" w:rsidRDefault="002A0387">
      <w:pPr>
        <w:pStyle w:val="FootnoteText"/>
        <w:rPr>
          <w:rFonts w:ascii="Calibri" w:hAnsi="Calibri" w:cs="Calibri"/>
          <w:lang w:val="en-AU"/>
        </w:rPr>
      </w:pPr>
      <w:r w:rsidRPr="00F60C6D">
        <w:rPr>
          <w:rStyle w:val="FootnoteReference"/>
          <w:rFonts w:ascii="Calibri" w:hAnsi="Calibri" w:cs="Calibri"/>
        </w:rPr>
        <w:footnoteRef/>
      </w:r>
      <w:r w:rsidRPr="00F60C6D">
        <w:rPr>
          <w:rFonts w:ascii="Calibri" w:hAnsi="Calibri" w:cs="Calibri"/>
        </w:rPr>
        <w:t xml:space="preserve"> </w:t>
      </w:r>
      <w:r w:rsidRPr="00F60C6D">
        <w:rPr>
          <w:rFonts w:ascii="Calibri" w:hAnsi="Calibri" w:cs="Calibri"/>
          <w:lang w:val="en-AU"/>
        </w:rPr>
        <w:t xml:space="preserve">See, for example, </w:t>
      </w:r>
      <w:r w:rsidR="006D2792" w:rsidRPr="00F60C6D">
        <w:rPr>
          <w:rFonts w:ascii="Calibri" w:hAnsi="Calibri" w:cs="Calibri"/>
          <w:i/>
          <w:iCs/>
          <w:lang w:val="en-AU"/>
        </w:rPr>
        <w:t xml:space="preserve">Maclean Shire Council v </w:t>
      </w:r>
      <w:proofErr w:type="spellStart"/>
      <w:r w:rsidR="006D2792" w:rsidRPr="00F60C6D">
        <w:rPr>
          <w:rFonts w:ascii="Calibri" w:hAnsi="Calibri" w:cs="Calibri"/>
          <w:i/>
          <w:iCs/>
          <w:lang w:val="en-AU"/>
        </w:rPr>
        <w:t>Nungera</w:t>
      </w:r>
      <w:proofErr w:type="spellEnd"/>
      <w:r w:rsidR="006D2792" w:rsidRPr="00F60C6D">
        <w:rPr>
          <w:rFonts w:ascii="Calibri" w:hAnsi="Calibri" w:cs="Calibri"/>
          <w:i/>
          <w:iCs/>
          <w:lang w:val="en-AU"/>
        </w:rPr>
        <w:t xml:space="preserve"> Co-operative Society Ltd </w:t>
      </w:r>
      <w:r w:rsidR="006D2792" w:rsidRPr="00F60C6D">
        <w:rPr>
          <w:rFonts w:ascii="Calibri" w:hAnsi="Calibri" w:cs="Calibri"/>
          <w:lang w:val="en-AU"/>
        </w:rPr>
        <w:t>(1995) LGERA 430, 431 (</w:t>
      </w:r>
      <w:r w:rsidR="009956FD" w:rsidRPr="00F60C6D">
        <w:rPr>
          <w:rFonts w:ascii="Calibri" w:hAnsi="Calibri" w:cs="Calibri"/>
          <w:lang w:val="en-AU"/>
        </w:rPr>
        <w:t>Handley JA; Priestley JA agreeing).</w:t>
      </w:r>
    </w:p>
  </w:footnote>
  <w:footnote w:id="31">
    <w:p w14:paraId="4BB792F1" w14:textId="66971046" w:rsidR="0002331E" w:rsidRPr="00F60C6D" w:rsidRDefault="0002331E">
      <w:pPr>
        <w:pStyle w:val="FootnoteText"/>
        <w:rPr>
          <w:rFonts w:ascii="Calibri" w:hAnsi="Calibri" w:cs="Calibri"/>
          <w:lang w:val="en-AU"/>
        </w:rPr>
      </w:pPr>
      <w:r w:rsidRPr="00F60C6D">
        <w:rPr>
          <w:rStyle w:val="FootnoteReference"/>
          <w:rFonts w:ascii="Calibri" w:hAnsi="Calibri" w:cs="Calibri"/>
        </w:rPr>
        <w:footnoteRef/>
      </w:r>
      <w:r w:rsidRPr="00F60C6D">
        <w:rPr>
          <w:rFonts w:ascii="Calibri" w:hAnsi="Calibri" w:cs="Calibri"/>
        </w:rPr>
        <w:t xml:space="preserve"> </w:t>
      </w:r>
      <w:r w:rsidR="00470EB7" w:rsidRPr="00F60C6D">
        <w:rPr>
          <w:rFonts w:ascii="Calibri" w:hAnsi="Calibri" w:cs="Calibri"/>
          <w:i/>
          <w:iCs/>
        </w:rPr>
        <w:t xml:space="preserve">Commissioner of Pay-roll Tax (Vic) v The </w:t>
      </w:r>
      <w:proofErr w:type="spellStart"/>
      <w:r w:rsidR="00470EB7" w:rsidRPr="00F60C6D">
        <w:rPr>
          <w:rFonts w:ascii="Calibri" w:hAnsi="Calibri" w:cs="Calibri"/>
          <w:i/>
          <w:iCs/>
        </w:rPr>
        <w:t>Cairnmillar</w:t>
      </w:r>
      <w:proofErr w:type="spellEnd"/>
      <w:r w:rsidR="00470EB7" w:rsidRPr="00F60C6D">
        <w:rPr>
          <w:rFonts w:ascii="Calibri" w:hAnsi="Calibri" w:cs="Calibri"/>
          <w:i/>
          <w:iCs/>
        </w:rPr>
        <w:t xml:space="preserve"> Institute</w:t>
      </w:r>
      <w:r w:rsidR="00470EB7" w:rsidRPr="00F60C6D">
        <w:rPr>
          <w:rFonts w:ascii="Calibri" w:hAnsi="Calibri" w:cs="Calibri"/>
        </w:rPr>
        <w:t xml:space="preserve"> (1990) </w:t>
      </w:r>
      <w:r w:rsidR="00DC49BF" w:rsidRPr="00F60C6D">
        <w:rPr>
          <w:rFonts w:ascii="Calibri" w:hAnsi="Calibri" w:cs="Calibri"/>
        </w:rPr>
        <w:t>90 ATR 665</w:t>
      </w:r>
      <w:r w:rsidR="00470EB7" w:rsidRPr="00F60C6D">
        <w:rPr>
          <w:rFonts w:ascii="Calibri" w:hAnsi="Calibri" w:cs="Calibri"/>
        </w:rPr>
        <w:t>, 683 (</w:t>
      </w:r>
      <w:proofErr w:type="spellStart"/>
      <w:r w:rsidR="00470EB7" w:rsidRPr="00F60C6D">
        <w:rPr>
          <w:rFonts w:ascii="Calibri" w:hAnsi="Calibri" w:cs="Calibri"/>
        </w:rPr>
        <w:t>McGarvie</w:t>
      </w:r>
      <w:proofErr w:type="spellEnd"/>
      <w:r w:rsidR="00470EB7" w:rsidRPr="00F60C6D">
        <w:rPr>
          <w:rFonts w:ascii="Calibri" w:hAnsi="Calibri" w:cs="Calibri"/>
        </w:rPr>
        <w:t xml:space="preserve"> J).</w:t>
      </w:r>
    </w:p>
  </w:footnote>
  <w:footnote w:id="32">
    <w:p w14:paraId="51C3DBC0" w14:textId="074D5602" w:rsidR="0006025A" w:rsidRPr="00F60C6D" w:rsidRDefault="0006025A">
      <w:pPr>
        <w:pStyle w:val="FootnoteText"/>
        <w:rPr>
          <w:rFonts w:ascii="Calibri" w:hAnsi="Calibri" w:cs="Calibri"/>
          <w:lang w:val="en-AU"/>
        </w:rPr>
      </w:pPr>
      <w:r w:rsidRPr="00F60C6D">
        <w:rPr>
          <w:rStyle w:val="FootnoteReference"/>
          <w:rFonts w:ascii="Calibri" w:hAnsi="Calibri" w:cs="Calibri"/>
        </w:rPr>
        <w:footnoteRef/>
      </w:r>
      <w:r w:rsidRPr="00F60C6D">
        <w:rPr>
          <w:rFonts w:ascii="Calibri" w:hAnsi="Calibri" w:cs="Calibri"/>
        </w:rPr>
        <w:t xml:space="preserve"> </w:t>
      </w:r>
      <w:r w:rsidR="00AD3CFD" w:rsidRPr="00F60C6D">
        <w:rPr>
          <w:rFonts w:ascii="Calibri" w:hAnsi="Calibri" w:cs="Calibri"/>
          <w:i/>
          <w:iCs/>
        </w:rPr>
        <w:t xml:space="preserve">Commissioner of Pay-roll Tax (Vic) v The </w:t>
      </w:r>
      <w:proofErr w:type="spellStart"/>
      <w:r w:rsidR="00AD3CFD" w:rsidRPr="00F60C6D">
        <w:rPr>
          <w:rFonts w:ascii="Calibri" w:hAnsi="Calibri" w:cs="Calibri"/>
          <w:i/>
          <w:iCs/>
        </w:rPr>
        <w:t>Cairnmillar</w:t>
      </w:r>
      <w:proofErr w:type="spellEnd"/>
      <w:r w:rsidR="00AD3CFD" w:rsidRPr="00F60C6D">
        <w:rPr>
          <w:rFonts w:ascii="Calibri" w:hAnsi="Calibri" w:cs="Calibri"/>
          <w:i/>
          <w:iCs/>
        </w:rPr>
        <w:t xml:space="preserve"> Institute</w:t>
      </w:r>
      <w:r w:rsidR="00AD3CFD" w:rsidRPr="00F60C6D">
        <w:rPr>
          <w:rFonts w:ascii="Calibri" w:hAnsi="Calibri" w:cs="Calibri"/>
        </w:rPr>
        <w:t xml:space="preserve"> (1990) </w:t>
      </w:r>
      <w:r w:rsidR="00DC49BF" w:rsidRPr="00F60C6D">
        <w:rPr>
          <w:rFonts w:ascii="Calibri" w:hAnsi="Calibri" w:cs="Calibri"/>
        </w:rPr>
        <w:t>90 ATR 665</w:t>
      </w:r>
      <w:r w:rsidR="00AD3CFD" w:rsidRPr="00F60C6D">
        <w:rPr>
          <w:rFonts w:ascii="Calibri" w:hAnsi="Calibri" w:cs="Calibri"/>
        </w:rPr>
        <w:t>, 685 (</w:t>
      </w:r>
      <w:proofErr w:type="spellStart"/>
      <w:r w:rsidR="00AD3CFD" w:rsidRPr="00F60C6D">
        <w:rPr>
          <w:rFonts w:ascii="Calibri" w:hAnsi="Calibri" w:cs="Calibri"/>
        </w:rPr>
        <w:t>McGarvie</w:t>
      </w:r>
      <w:proofErr w:type="spellEnd"/>
      <w:r w:rsidR="00AD3CFD" w:rsidRPr="00F60C6D">
        <w:rPr>
          <w:rFonts w:ascii="Calibri" w:hAnsi="Calibri" w:cs="Calibri"/>
        </w:rPr>
        <w:t xml:space="preserve"> J).</w:t>
      </w:r>
    </w:p>
  </w:footnote>
  <w:footnote w:id="33">
    <w:p w14:paraId="3031AE1A" w14:textId="75156D56" w:rsidR="00CB17DF" w:rsidRPr="00F60C6D" w:rsidRDefault="00CB17DF">
      <w:pPr>
        <w:pStyle w:val="FootnoteText"/>
        <w:rPr>
          <w:rFonts w:ascii="Calibri" w:hAnsi="Calibri" w:cs="Calibri"/>
          <w:lang w:val="en-AU"/>
        </w:rPr>
      </w:pPr>
      <w:r w:rsidRPr="00F60C6D">
        <w:rPr>
          <w:rStyle w:val="FootnoteReference"/>
          <w:rFonts w:ascii="Calibri" w:hAnsi="Calibri" w:cs="Calibri"/>
        </w:rPr>
        <w:footnoteRef/>
      </w:r>
      <w:r w:rsidRPr="00F60C6D">
        <w:rPr>
          <w:rFonts w:ascii="Calibri" w:hAnsi="Calibri" w:cs="Calibri"/>
        </w:rPr>
        <w:t xml:space="preserve"> </w:t>
      </w:r>
      <w:r w:rsidR="009B0EA0" w:rsidRPr="00F60C6D">
        <w:rPr>
          <w:rFonts w:ascii="Calibri" w:hAnsi="Calibri" w:cs="Calibri"/>
          <w:i/>
          <w:iCs/>
          <w:lang w:val="en-AU"/>
        </w:rPr>
        <w:t xml:space="preserve">Commissioner of Pay-roll Tax (Vic) v </w:t>
      </w:r>
      <w:proofErr w:type="spellStart"/>
      <w:r w:rsidR="009B0EA0" w:rsidRPr="00F60C6D">
        <w:rPr>
          <w:rFonts w:ascii="Calibri" w:hAnsi="Calibri" w:cs="Calibri"/>
          <w:i/>
          <w:iCs/>
          <w:lang w:val="en-AU"/>
        </w:rPr>
        <w:t>Cairnmillar</w:t>
      </w:r>
      <w:proofErr w:type="spellEnd"/>
      <w:r w:rsidR="009B0EA0" w:rsidRPr="00F60C6D">
        <w:rPr>
          <w:rFonts w:ascii="Calibri" w:hAnsi="Calibri" w:cs="Calibri"/>
          <w:i/>
          <w:iCs/>
          <w:lang w:val="en-AU"/>
        </w:rPr>
        <w:t xml:space="preserve"> Institute</w:t>
      </w:r>
      <w:r w:rsidR="009B0EA0" w:rsidRPr="00F60C6D">
        <w:rPr>
          <w:rFonts w:ascii="Calibri" w:hAnsi="Calibri" w:cs="Calibri"/>
          <w:lang w:val="en-AU"/>
        </w:rPr>
        <w:t xml:space="preserve"> [1992] 2 VR 706.</w:t>
      </w:r>
    </w:p>
  </w:footnote>
  <w:footnote w:id="34">
    <w:p w14:paraId="24CDA113" w14:textId="5525AF38" w:rsidR="00A506A3" w:rsidRPr="00907948" w:rsidRDefault="00A506A3">
      <w:pPr>
        <w:pStyle w:val="FootnoteText"/>
        <w:rPr>
          <w:rFonts w:ascii="Calibri" w:hAnsi="Calibri" w:cs="Calibri"/>
          <w:lang w:val="en-AU"/>
        </w:rPr>
      </w:pPr>
      <w:r w:rsidRPr="00907948">
        <w:rPr>
          <w:rStyle w:val="FootnoteReference"/>
          <w:rFonts w:ascii="Calibri" w:hAnsi="Calibri" w:cs="Calibri"/>
        </w:rPr>
        <w:footnoteRef/>
      </w:r>
      <w:r w:rsidRPr="00907948">
        <w:rPr>
          <w:rFonts w:ascii="Calibri" w:hAnsi="Calibri" w:cs="Calibri"/>
        </w:rPr>
        <w:t xml:space="preserve"> </w:t>
      </w:r>
      <w:r w:rsidRPr="00907948">
        <w:rPr>
          <w:rFonts w:ascii="Calibri" w:hAnsi="Calibri" w:cs="Calibri"/>
          <w:lang w:val="en-AU"/>
        </w:rPr>
        <w:t xml:space="preserve">See, for example, </w:t>
      </w:r>
      <w:r w:rsidRPr="005C209F">
        <w:rPr>
          <w:rFonts w:ascii="Calibri" w:hAnsi="Calibri" w:cs="Calibri"/>
          <w:i/>
          <w:iCs/>
          <w:lang w:val="en-AU"/>
        </w:rPr>
        <w:t xml:space="preserve">Australian Council </w:t>
      </w:r>
      <w:r w:rsidR="00907948" w:rsidRPr="005C209F">
        <w:rPr>
          <w:rFonts w:ascii="Calibri" w:hAnsi="Calibri" w:cs="Calibri"/>
          <w:i/>
          <w:iCs/>
          <w:lang w:val="en-AU"/>
        </w:rPr>
        <w:t>f</w:t>
      </w:r>
      <w:r w:rsidRPr="005C209F">
        <w:rPr>
          <w:rFonts w:ascii="Calibri" w:hAnsi="Calibri" w:cs="Calibri"/>
          <w:i/>
          <w:iCs/>
          <w:lang w:val="en-AU"/>
        </w:rPr>
        <w:t>or Overseas Aid</w:t>
      </w:r>
      <w:r w:rsidR="00A464EE" w:rsidRPr="005C209F">
        <w:rPr>
          <w:rFonts w:ascii="Calibri" w:hAnsi="Calibri" w:cs="Calibri"/>
          <w:i/>
          <w:iCs/>
          <w:lang w:val="en-AU"/>
        </w:rPr>
        <w:t xml:space="preserve"> v</w:t>
      </w:r>
      <w:r w:rsidR="00907948" w:rsidRPr="005C209F">
        <w:rPr>
          <w:rFonts w:ascii="Calibri" w:hAnsi="Calibri" w:cs="Calibri"/>
          <w:i/>
          <w:iCs/>
          <w:lang w:val="en-AU"/>
        </w:rPr>
        <w:t xml:space="preserve"> Federal Commissioner of Taxation</w:t>
      </w:r>
      <w:r w:rsidRPr="005C209F">
        <w:rPr>
          <w:rFonts w:ascii="Calibri" w:hAnsi="Calibri" w:cs="Calibri"/>
          <w:i/>
          <w:iCs/>
          <w:lang w:val="en-AU"/>
        </w:rPr>
        <w:t xml:space="preserve"> </w:t>
      </w:r>
      <w:r w:rsidR="00A464EE" w:rsidRPr="00907948">
        <w:rPr>
          <w:rFonts w:ascii="Calibri" w:hAnsi="Calibri" w:cs="Calibri"/>
          <w:lang w:val="en-AU"/>
        </w:rPr>
        <w:t>(1980) 49 FLR 27</w:t>
      </w:r>
      <w:r w:rsidR="00907948" w:rsidRPr="00907948">
        <w:rPr>
          <w:rFonts w:ascii="Calibri" w:hAnsi="Calibri" w:cs="Calibri"/>
          <w:lang w:val="en-AU"/>
        </w:rPr>
        <w:t>.</w:t>
      </w:r>
    </w:p>
  </w:footnote>
  <w:footnote w:id="35">
    <w:p w14:paraId="3B20DBFE" w14:textId="1C25932C" w:rsidR="00194466" w:rsidRPr="00F60C6D" w:rsidRDefault="00194466">
      <w:pPr>
        <w:pStyle w:val="FootnoteText"/>
        <w:rPr>
          <w:rFonts w:ascii="Calibri" w:hAnsi="Calibri" w:cs="Calibri"/>
          <w:lang w:val="en-AU"/>
        </w:rPr>
      </w:pPr>
      <w:r w:rsidRPr="00F60C6D">
        <w:rPr>
          <w:rStyle w:val="FootnoteReference"/>
          <w:rFonts w:ascii="Calibri" w:hAnsi="Calibri" w:cs="Calibri"/>
        </w:rPr>
        <w:footnoteRef/>
      </w:r>
      <w:r w:rsidRPr="00F60C6D">
        <w:rPr>
          <w:rFonts w:ascii="Calibri" w:hAnsi="Calibri" w:cs="Calibri"/>
        </w:rPr>
        <w:t xml:space="preserve"> </w:t>
      </w:r>
      <w:r w:rsidR="0084723C" w:rsidRPr="00F60C6D">
        <w:rPr>
          <w:rFonts w:ascii="Calibri" w:hAnsi="Calibri" w:cs="Calibri"/>
          <w:i/>
          <w:iCs/>
        </w:rPr>
        <w:t>Federal Commissioner of Taxation v Royal Society for the Prevention of Cruelty to Animals, Queensland Inc</w:t>
      </w:r>
      <w:r w:rsidR="0084723C" w:rsidRPr="00F60C6D">
        <w:rPr>
          <w:rFonts w:ascii="Calibri" w:hAnsi="Calibri" w:cs="Calibri"/>
        </w:rPr>
        <w:t xml:space="preserve"> 92 ATC 4441; [1993] 1 </w:t>
      </w:r>
      <w:proofErr w:type="spellStart"/>
      <w:r w:rsidR="0084723C" w:rsidRPr="00F60C6D">
        <w:rPr>
          <w:rFonts w:ascii="Calibri" w:hAnsi="Calibri" w:cs="Calibri"/>
        </w:rPr>
        <w:t>Qd</w:t>
      </w:r>
      <w:proofErr w:type="spellEnd"/>
      <w:r w:rsidR="0084723C" w:rsidRPr="00F60C6D">
        <w:rPr>
          <w:rFonts w:ascii="Calibri" w:hAnsi="Calibri" w:cs="Calibri"/>
        </w:rPr>
        <w:t xml:space="preserve"> R 571</w:t>
      </w:r>
      <w:r w:rsidR="0049339C" w:rsidRPr="00F60C6D">
        <w:rPr>
          <w:rFonts w:ascii="Calibri" w:hAnsi="Calibri" w:cs="Calibri"/>
        </w:rPr>
        <w:t>.</w:t>
      </w:r>
    </w:p>
  </w:footnote>
  <w:footnote w:id="36">
    <w:p w14:paraId="5C478C95" w14:textId="21AFF8E1" w:rsidR="00F60C6D" w:rsidRPr="00F60C6D" w:rsidRDefault="00F60C6D">
      <w:pPr>
        <w:pStyle w:val="FootnoteText"/>
        <w:rPr>
          <w:rFonts w:ascii="Calibri" w:hAnsi="Calibri" w:cs="Calibri"/>
          <w:lang w:val="en-AU"/>
        </w:rPr>
      </w:pPr>
      <w:r w:rsidRPr="00F60C6D">
        <w:rPr>
          <w:rStyle w:val="FootnoteReference"/>
          <w:rFonts w:ascii="Calibri" w:hAnsi="Calibri" w:cs="Calibri"/>
        </w:rPr>
        <w:footnoteRef/>
      </w:r>
      <w:r w:rsidRPr="00F60C6D">
        <w:rPr>
          <w:rFonts w:ascii="Calibri" w:hAnsi="Calibri" w:cs="Calibri"/>
        </w:rPr>
        <w:t xml:space="preserve"> </w:t>
      </w:r>
      <w:r w:rsidRPr="00F60C6D">
        <w:rPr>
          <w:rFonts w:ascii="Calibri" w:hAnsi="Calibri" w:cs="Calibri"/>
          <w:i/>
          <w:iCs/>
        </w:rPr>
        <w:t>Perpetual Trustee Co Ltd v Federal Commissioner of Taxation</w:t>
      </w:r>
      <w:r w:rsidRPr="00F60C6D">
        <w:rPr>
          <w:rFonts w:ascii="Calibri" w:hAnsi="Calibri" w:cs="Calibri"/>
        </w:rPr>
        <w:t xml:space="preserve"> (1931) 45 CLR 224.</w:t>
      </w:r>
    </w:p>
  </w:footnote>
  <w:footnote w:id="37">
    <w:p w14:paraId="16EB1C81" w14:textId="3D6E77C9" w:rsidR="008D0F59" w:rsidRPr="00F60C6D" w:rsidRDefault="008D0F59">
      <w:pPr>
        <w:pStyle w:val="FootnoteText"/>
        <w:rPr>
          <w:rFonts w:ascii="Calibri" w:hAnsi="Calibri" w:cs="Calibri"/>
          <w:lang w:val="en-AU"/>
        </w:rPr>
      </w:pPr>
      <w:r w:rsidRPr="00F60C6D">
        <w:rPr>
          <w:rStyle w:val="FootnoteReference"/>
          <w:rFonts w:ascii="Calibri" w:hAnsi="Calibri" w:cs="Calibri"/>
        </w:rPr>
        <w:footnoteRef/>
      </w:r>
      <w:r w:rsidRPr="00F60C6D">
        <w:rPr>
          <w:rFonts w:ascii="Calibri" w:hAnsi="Calibri" w:cs="Calibri"/>
        </w:rPr>
        <w:t xml:space="preserve"> </w:t>
      </w:r>
      <w:r w:rsidR="00F60C6D" w:rsidRPr="00F60C6D">
        <w:rPr>
          <w:rFonts w:ascii="Calibri" w:hAnsi="Calibri" w:cs="Calibri"/>
          <w:i/>
          <w:iCs/>
        </w:rPr>
        <w:t>Perpetual Trustee Co Ltd v Federal Commissioner of Taxation</w:t>
      </w:r>
      <w:r w:rsidR="00F60C6D" w:rsidRPr="00F60C6D">
        <w:rPr>
          <w:rFonts w:ascii="Calibri" w:hAnsi="Calibri" w:cs="Calibri"/>
        </w:rPr>
        <w:t xml:space="preserve"> (1931) 45 CLR 224, </w:t>
      </w:r>
      <w:r w:rsidR="00874E9F" w:rsidRPr="00F60C6D">
        <w:rPr>
          <w:rFonts w:ascii="Calibri" w:hAnsi="Calibri" w:cs="Calibri"/>
        </w:rPr>
        <w:t>232 (Starke J)</w:t>
      </w:r>
      <w:r w:rsidR="00F60C6D" w:rsidRPr="00F60C6D">
        <w:rPr>
          <w:rFonts w:ascii="Calibri" w:hAnsi="Calibri" w:cs="Calibri"/>
        </w:rPr>
        <w:t>.</w:t>
      </w:r>
    </w:p>
  </w:footnote>
  <w:footnote w:id="38">
    <w:p w14:paraId="2C306E91" w14:textId="5501F9C2" w:rsidR="008D0F59" w:rsidRPr="003C1711" w:rsidRDefault="008D0F59">
      <w:pPr>
        <w:pStyle w:val="FootnoteText"/>
        <w:rPr>
          <w:rFonts w:asciiTheme="minorHAnsi" w:hAnsiTheme="minorHAnsi" w:cstheme="minorHAnsi"/>
          <w:lang w:val="en-AU"/>
        </w:rPr>
      </w:pPr>
      <w:r w:rsidRPr="00F60C6D">
        <w:rPr>
          <w:rStyle w:val="FootnoteReference"/>
          <w:rFonts w:ascii="Calibri" w:hAnsi="Calibri" w:cs="Calibri"/>
        </w:rPr>
        <w:footnoteRef/>
      </w:r>
      <w:r w:rsidRPr="00F60C6D">
        <w:rPr>
          <w:rFonts w:ascii="Calibri" w:hAnsi="Calibri" w:cs="Calibri"/>
        </w:rPr>
        <w:t xml:space="preserve"> </w:t>
      </w:r>
      <w:r w:rsidR="00F60C6D" w:rsidRPr="00F60C6D">
        <w:rPr>
          <w:rFonts w:ascii="Calibri" w:hAnsi="Calibri" w:cs="Calibri"/>
          <w:i/>
          <w:iCs/>
        </w:rPr>
        <w:t>Perpetual Trustee Co Ltd v Federal Commissioner of Taxation</w:t>
      </w:r>
      <w:r w:rsidR="00F60C6D" w:rsidRPr="00F60C6D">
        <w:rPr>
          <w:rFonts w:ascii="Calibri" w:hAnsi="Calibri" w:cs="Calibri"/>
        </w:rPr>
        <w:t xml:space="preserve"> (1931) 45 CLR 224, </w:t>
      </w:r>
      <w:r w:rsidR="001F7BA6" w:rsidRPr="00F60C6D">
        <w:rPr>
          <w:rFonts w:ascii="Calibri" w:hAnsi="Calibri" w:cs="Calibri"/>
        </w:rPr>
        <w:t>232-3 (Dixon J)</w:t>
      </w:r>
      <w:r w:rsidR="00F60C6D" w:rsidRPr="00F60C6D">
        <w:rPr>
          <w:rFonts w:ascii="Calibri" w:hAnsi="Calibri" w:cs="Calibri"/>
        </w:rPr>
        <w:t>.</w:t>
      </w:r>
    </w:p>
  </w:footnote>
  <w:footnote w:id="39">
    <w:p w14:paraId="67864FDE" w14:textId="0A57EF6F" w:rsidR="00107576" w:rsidRPr="006529F8" w:rsidRDefault="00107576">
      <w:pPr>
        <w:pStyle w:val="FootnoteText"/>
        <w:rPr>
          <w:rFonts w:ascii="Calibri" w:hAnsi="Calibri" w:cs="Calibri"/>
          <w:lang w:val="en-AU"/>
        </w:rPr>
      </w:pPr>
      <w:r w:rsidRPr="006529F8">
        <w:rPr>
          <w:rStyle w:val="FootnoteReference"/>
          <w:rFonts w:ascii="Calibri" w:hAnsi="Calibri" w:cs="Calibri"/>
        </w:rPr>
        <w:footnoteRef/>
      </w:r>
      <w:r w:rsidRPr="006529F8">
        <w:rPr>
          <w:rFonts w:ascii="Calibri" w:hAnsi="Calibri" w:cs="Calibri"/>
        </w:rPr>
        <w:t xml:space="preserve"> </w:t>
      </w:r>
      <w:r w:rsidRPr="006529F8">
        <w:rPr>
          <w:rFonts w:ascii="Calibri" w:hAnsi="Calibri" w:cs="Calibri"/>
          <w:lang w:val="en-AU"/>
        </w:rPr>
        <w:t xml:space="preserve">See, for example, </w:t>
      </w:r>
      <w:r w:rsidR="006F72B2" w:rsidRPr="006529F8">
        <w:rPr>
          <w:rFonts w:ascii="Calibri" w:hAnsi="Calibri" w:cs="Calibri"/>
          <w:i/>
          <w:iCs/>
          <w:lang w:val="en-AU"/>
        </w:rPr>
        <w:t xml:space="preserve">Maughan v Federal Commissioner of Taxation </w:t>
      </w:r>
      <w:r w:rsidR="006F72B2" w:rsidRPr="006529F8">
        <w:rPr>
          <w:rFonts w:ascii="Calibri" w:hAnsi="Calibri" w:cs="Calibri"/>
          <w:lang w:val="en-AU"/>
        </w:rPr>
        <w:t>(1942) 66 CLR 388, 398 (Williams J).</w:t>
      </w:r>
    </w:p>
  </w:footnote>
  <w:footnote w:id="40">
    <w:p w14:paraId="2F2D666F" w14:textId="6445153C" w:rsidR="002A7DA1" w:rsidRPr="006529F8" w:rsidRDefault="002A7DA1">
      <w:pPr>
        <w:pStyle w:val="FootnoteText"/>
        <w:rPr>
          <w:rFonts w:ascii="Calibri" w:hAnsi="Calibri" w:cs="Calibri"/>
          <w:lang w:val="en-AU"/>
        </w:rPr>
      </w:pPr>
      <w:r w:rsidRPr="006529F8">
        <w:rPr>
          <w:rStyle w:val="FootnoteReference"/>
          <w:rFonts w:ascii="Calibri" w:hAnsi="Calibri" w:cs="Calibri"/>
        </w:rPr>
        <w:footnoteRef/>
      </w:r>
      <w:r w:rsidRPr="006529F8">
        <w:rPr>
          <w:rFonts w:ascii="Calibri" w:hAnsi="Calibri" w:cs="Calibri"/>
        </w:rPr>
        <w:t xml:space="preserve"> </w:t>
      </w:r>
      <w:r w:rsidRPr="006529F8">
        <w:rPr>
          <w:rFonts w:ascii="Calibri" w:hAnsi="Calibri" w:cs="Calibri"/>
          <w:lang w:val="en-AU"/>
        </w:rPr>
        <w:t xml:space="preserve">See, for example, </w:t>
      </w:r>
      <w:r w:rsidR="00F82E44" w:rsidRPr="006529F8">
        <w:rPr>
          <w:rFonts w:ascii="Calibri" w:hAnsi="Calibri" w:cs="Calibri"/>
          <w:i/>
          <w:iCs/>
          <w:lang w:val="en-AU"/>
        </w:rPr>
        <w:t>Maughan v Federal Commissioner of Taxation</w:t>
      </w:r>
      <w:r w:rsidR="00F82E44" w:rsidRPr="006529F8">
        <w:rPr>
          <w:rFonts w:ascii="Calibri" w:hAnsi="Calibri" w:cs="Calibri"/>
          <w:lang w:val="en-AU"/>
        </w:rPr>
        <w:t xml:space="preserve"> (1942) 66 CLR 388, 39</w:t>
      </w:r>
      <w:r w:rsidR="00446AF7" w:rsidRPr="006529F8">
        <w:rPr>
          <w:rFonts w:ascii="Calibri" w:hAnsi="Calibri" w:cs="Calibri"/>
          <w:lang w:val="en-AU"/>
        </w:rPr>
        <w:t>5</w:t>
      </w:r>
      <w:r w:rsidR="00F82E44" w:rsidRPr="006529F8">
        <w:rPr>
          <w:rFonts w:ascii="Calibri" w:hAnsi="Calibri" w:cs="Calibri"/>
          <w:lang w:val="en-AU"/>
        </w:rPr>
        <w:t xml:space="preserve"> (</w:t>
      </w:r>
      <w:proofErr w:type="spellStart"/>
      <w:r w:rsidR="00446AF7" w:rsidRPr="006529F8">
        <w:rPr>
          <w:rFonts w:ascii="Calibri" w:hAnsi="Calibri" w:cs="Calibri"/>
          <w:lang w:val="en-AU"/>
        </w:rPr>
        <w:t>McTiernan</w:t>
      </w:r>
      <w:proofErr w:type="spellEnd"/>
      <w:r w:rsidR="00F82E44" w:rsidRPr="006529F8">
        <w:rPr>
          <w:rFonts w:ascii="Calibri" w:hAnsi="Calibri" w:cs="Calibri"/>
          <w:lang w:val="en-AU"/>
        </w:rPr>
        <w:t xml:space="preserve"> J).</w:t>
      </w:r>
    </w:p>
  </w:footnote>
  <w:footnote w:id="41">
    <w:p w14:paraId="366DA82D" w14:textId="100FF96D" w:rsidR="009B5FA6" w:rsidRPr="006529F8" w:rsidRDefault="009B5FA6">
      <w:pPr>
        <w:pStyle w:val="FootnoteText"/>
        <w:rPr>
          <w:rFonts w:ascii="Calibri" w:hAnsi="Calibri" w:cs="Calibri"/>
          <w:lang w:val="en-AU"/>
        </w:rPr>
      </w:pPr>
      <w:r w:rsidRPr="006529F8">
        <w:rPr>
          <w:rStyle w:val="FootnoteReference"/>
          <w:rFonts w:ascii="Calibri" w:hAnsi="Calibri" w:cs="Calibri"/>
        </w:rPr>
        <w:footnoteRef/>
      </w:r>
      <w:r w:rsidRPr="006529F8">
        <w:rPr>
          <w:rFonts w:ascii="Calibri" w:hAnsi="Calibri" w:cs="Calibri"/>
        </w:rPr>
        <w:t xml:space="preserve"> </w:t>
      </w:r>
      <w:r w:rsidRPr="006529F8">
        <w:rPr>
          <w:rFonts w:ascii="Calibri" w:hAnsi="Calibri" w:cs="Calibri"/>
          <w:lang w:val="en-AU"/>
        </w:rPr>
        <w:t xml:space="preserve">See, for example, </w:t>
      </w:r>
      <w:r w:rsidR="00ED14CC" w:rsidRPr="006529F8">
        <w:rPr>
          <w:rFonts w:ascii="Calibri" w:hAnsi="Calibri" w:cs="Calibri"/>
          <w:i/>
          <w:iCs/>
          <w:lang w:val="en-AU"/>
        </w:rPr>
        <w:t>Federal Commissioner of Taxation v Launceston Legacy</w:t>
      </w:r>
      <w:r w:rsidR="00ED14CC" w:rsidRPr="006529F8">
        <w:rPr>
          <w:rFonts w:ascii="Calibri" w:hAnsi="Calibri" w:cs="Calibri"/>
          <w:lang w:val="en-AU"/>
        </w:rPr>
        <w:t xml:space="preserve"> (1987) </w:t>
      </w:r>
      <w:r w:rsidR="001D54FF" w:rsidRPr="006529F8">
        <w:rPr>
          <w:rFonts w:ascii="Calibri" w:hAnsi="Calibri" w:cs="Calibri"/>
          <w:lang w:val="en-AU"/>
        </w:rPr>
        <w:t>75 ALR 122</w:t>
      </w:r>
      <w:r w:rsidR="00B4128C" w:rsidRPr="006529F8">
        <w:rPr>
          <w:rFonts w:ascii="Calibri" w:hAnsi="Calibri" w:cs="Calibri"/>
          <w:lang w:val="en-AU"/>
        </w:rPr>
        <w:t>, 129 (Northrup J).</w:t>
      </w:r>
    </w:p>
  </w:footnote>
  <w:footnote w:id="42">
    <w:p w14:paraId="1501FFCA" w14:textId="65D01235" w:rsidR="00395E20" w:rsidRPr="006529F8" w:rsidRDefault="00395E20">
      <w:pPr>
        <w:pStyle w:val="FootnoteText"/>
        <w:rPr>
          <w:rFonts w:ascii="Calibri" w:hAnsi="Calibri" w:cs="Calibri"/>
          <w:lang w:val="en-AU"/>
        </w:rPr>
      </w:pPr>
      <w:r w:rsidRPr="006529F8">
        <w:rPr>
          <w:rStyle w:val="FootnoteReference"/>
          <w:rFonts w:ascii="Calibri" w:hAnsi="Calibri" w:cs="Calibri"/>
        </w:rPr>
        <w:footnoteRef/>
      </w:r>
      <w:r w:rsidRPr="006529F8">
        <w:rPr>
          <w:rFonts w:ascii="Calibri" w:hAnsi="Calibri" w:cs="Calibri"/>
        </w:rPr>
        <w:t xml:space="preserve"> </w:t>
      </w:r>
      <w:r w:rsidR="004749A3" w:rsidRPr="006529F8">
        <w:rPr>
          <w:rFonts w:ascii="Calibri" w:hAnsi="Calibri" w:cs="Calibri"/>
        </w:rPr>
        <w:t xml:space="preserve">See, for example, </w:t>
      </w:r>
      <w:r w:rsidRPr="006529F8">
        <w:rPr>
          <w:rFonts w:ascii="Calibri" w:hAnsi="Calibri" w:cs="Calibri"/>
          <w:i/>
          <w:iCs/>
        </w:rPr>
        <w:t xml:space="preserve">Commissioner of Pay-roll Tax (Vic) v The </w:t>
      </w:r>
      <w:proofErr w:type="spellStart"/>
      <w:r w:rsidRPr="006529F8">
        <w:rPr>
          <w:rFonts w:ascii="Calibri" w:hAnsi="Calibri" w:cs="Calibri"/>
          <w:i/>
          <w:iCs/>
        </w:rPr>
        <w:t>Cairnmillar</w:t>
      </w:r>
      <w:proofErr w:type="spellEnd"/>
      <w:r w:rsidRPr="006529F8">
        <w:rPr>
          <w:rFonts w:ascii="Calibri" w:hAnsi="Calibri" w:cs="Calibri"/>
          <w:i/>
          <w:iCs/>
        </w:rPr>
        <w:t xml:space="preserve"> Institute</w:t>
      </w:r>
      <w:r w:rsidRPr="006529F8">
        <w:rPr>
          <w:rFonts w:ascii="Calibri" w:hAnsi="Calibri" w:cs="Calibri"/>
        </w:rPr>
        <w:t xml:space="preserve"> (1990) 90 ATR 665, 683 (</w:t>
      </w:r>
      <w:proofErr w:type="spellStart"/>
      <w:r w:rsidRPr="006529F8">
        <w:rPr>
          <w:rFonts w:ascii="Calibri" w:hAnsi="Calibri" w:cs="Calibri"/>
        </w:rPr>
        <w:t>McGarvie</w:t>
      </w:r>
      <w:proofErr w:type="spellEnd"/>
      <w:r w:rsidRPr="006529F8">
        <w:rPr>
          <w:rFonts w:ascii="Calibri" w:hAnsi="Calibri" w:cs="Calibri"/>
        </w:rPr>
        <w:t xml:space="preserve"> J).</w:t>
      </w:r>
    </w:p>
  </w:footnote>
  <w:footnote w:id="43">
    <w:p w14:paraId="13A592AC" w14:textId="065DE5FA" w:rsidR="003E2131" w:rsidRPr="006529F8" w:rsidRDefault="003E2131">
      <w:pPr>
        <w:pStyle w:val="FootnoteText"/>
        <w:rPr>
          <w:rFonts w:ascii="Calibri" w:hAnsi="Calibri" w:cs="Calibri"/>
          <w:lang w:val="en-AU"/>
        </w:rPr>
      </w:pPr>
      <w:r w:rsidRPr="006529F8">
        <w:rPr>
          <w:rStyle w:val="FootnoteReference"/>
          <w:rFonts w:ascii="Calibri" w:hAnsi="Calibri" w:cs="Calibri"/>
        </w:rPr>
        <w:footnoteRef/>
      </w:r>
      <w:r w:rsidRPr="006529F8">
        <w:rPr>
          <w:rFonts w:ascii="Calibri" w:hAnsi="Calibri" w:cs="Calibri"/>
        </w:rPr>
        <w:t xml:space="preserve"> </w:t>
      </w:r>
      <w:r w:rsidR="0031704A" w:rsidRPr="006529F8">
        <w:rPr>
          <w:rFonts w:ascii="Calibri" w:hAnsi="Calibri" w:cs="Calibri"/>
        </w:rPr>
        <w:t xml:space="preserve">See, for example, </w:t>
      </w:r>
      <w:r w:rsidR="006D73A6" w:rsidRPr="006529F8">
        <w:rPr>
          <w:rFonts w:ascii="Calibri" w:hAnsi="Calibri" w:cs="Calibri"/>
          <w:i/>
          <w:iCs/>
        </w:rPr>
        <w:t xml:space="preserve">Maclean Shire Council v </w:t>
      </w:r>
      <w:proofErr w:type="spellStart"/>
      <w:r w:rsidR="006D73A6" w:rsidRPr="006529F8">
        <w:rPr>
          <w:rFonts w:ascii="Calibri" w:hAnsi="Calibri" w:cs="Calibri"/>
          <w:i/>
          <w:iCs/>
        </w:rPr>
        <w:t>Nungera</w:t>
      </w:r>
      <w:proofErr w:type="spellEnd"/>
      <w:r w:rsidR="006D73A6" w:rsidRPr="006529F8">
        <w:rPr>
          <w:rFonts w:ascii="Calibri" w:hAnsi="Calibri" w:cs="Calibri"/>
          <w:i/>
          <w:iCs/>
        </w:rPr>
        <w:t xml:space="preserve"> Co-operative Society Ltd</w:t>
      </w:r>
      <w:r w:rsidR="006D73A6" w:rsidRPr="006529F8">
        <w:rPr>
          <w:rFonts w:ascii="Calibri" w:hAnsi="Calibri" w:cs="Calibri"/>
        </w:rPr>
        <w:t xml:space="preserve"> (1995) LGERA 430</w:t>
      </w:r>
      <w:r w:rsidR="00915094" w:rsidRPr="006529F8">
        <w:rPr>
          <w:rFonts w:ascii="Calibri" w:hAnsi="Calibri" w:cs="Calibri"/>
        </w:rPr>
        <w:t>, 432-433 (Handley JA)</w:t>
      </w:r>
      <w:r w:rsidR="00874D7C" w:rsidRPr="006529F8">
        <w:rPr>
          <w:rFonts w:ascii="Calibri" w:hAnsi="Calibri" w:cs="Calibri"/>
        </w:rPr>
        <w:t>;</w:t>
      </w:r>
      <w:r w:rsidR="00AB7E2B" w:rsidRPr="006529F8">
        <w:rPr>
          <w:rFonts w:ascii="Calibri" w:hAnsi="Calibri" w:cs="Calibri"/>
        </w:rPr>
        <w:t xml:space="preserve"> </w:t>
      </w:r>
      <w:r w:rsidR="00AB7E2B" w:rsidRPr="006529F8">
        <w:rPr>
          <w:rFonts w:ascii="Calibri" w:hAnsi="Calibri" w:cs="Calibri"/>
          <w:i/>
          <w:iCs/>
        </w:rPr>
        <w:t xml:space="preserve">Federal Commissioner of Taxation v Launceston Legacy </w:t>
      </w:r>
      <w:r w:rsidR="00AB7E2B" w:rsidRPr="006529F8">
        <w:rPr>
          <w:rFonts w:ascii="Calibri" w:hAnsi="Calibri" w:cs="Calibri"/>
        </w:rPr>
        <w:t>(1987) 75 ALR 122, 138 (Northrop J)</w:t>
      </w:r>
      <w:r w:rsidR="002934CB" w:rsidRPr="006529F8">
        <w:rPr>
          <w:rFonts w:ascii="Calibri" w:hAnsi="Calibri" w:cs="Calibri"/>
        </w:rPr>
        <w:t>;</w:t>
      </w:r>
      <w:r w:rsidR="00E41474" w:rsidRPr="006529F8">
        <w:rPr>
          <w:rFonts w:ascii="Calibri" w:hAnsi="Calibri" w:cs="Calibri"/>
        </w:rPr>
        <w:t xml:space="preserve"> </w:t>
      </w:r>
      <w:r w:rsidR="00E41474" w:rsidRPr="006529F8">
        <w:rPr>
          <w:rFonts w:ascii="Calibri" w:hAnsi="Calibri" w:cs="Calibri"/>
          <w:i/>
          <w:iCs/>
        </w:rPr>
        <w:t>Northern Land Council v Commissioner of Taxation</w:t>
      </w:r>
      <w:r w:rsidR="0090772E" w:rsidRPr="006529F8">
        <w:rPr>
          <w:rFonts w:ascii="Calibri" w:hAnsi="Calibri" w:cs="Calibri"/>
        </w:rPr>
        <w:t xml:space="preserve"> [2002] NTCA 1</w:t>
      </w:r>
      <w:r w:rsidR="002E4AC2" w:rsidRPr="006529F8">
        <w:rPr>
          <w:rFonts w:ascii="Calibri" w:hAnsi="Calibri" w:cs="Calibri"/>
        </w:rPr>
        <w:t xml:space="preserve">, 7 </w:t>
      </w:r>
      <w:r w:rsidR="00DB21BD" w:rsidRPr="006529F8">
        <w:rPr>
          <w:rFonts w:ascii="Calibri" w:hAnsi="Calibri" w:cs="Calibri"/>
        </w:rPr>
        <w:t>[22] (</w:t>
      </w:r>
      <w:proofErr w:type="spellStart"/>
      <w:r w:rsidR="00DB21BD" w:rsidRPr="006529F8">
        <w:rPr>
          <w:rFonts w:ascii="Calibri" w:hAnsi="Calibri" w:cs="Calibri"/>
        </w:rPr>
        <w:t>Mildren</w:t>
      </w:r>
      <w:proofErr w:type="spellEnd"/>
      <w:r w:rsidR="00DB21BD" w:rsidRPr="006529F8">
        <w:rPr>
          <w:rFonts w:ascii="Calibri" w:hAnsi="Calibri" w:cs="Calibri"/>
        </w:rPr>
        <w:t xml:space="preserve"> J);</w:t>
      </w:r>
      <w:r w:rsidR="0090772E" w:rsidRPr="006529F8">
        <w:rPr>
          <w:rFonts w:ascii="Calibri" w:hAnsi="Calibri" w:cs="Calibri"/>
        </w:rPr>
        <w:t xml:space="preserve"> </w:t>
      </w:r>
      <w:proofErr w:type="spellStart"/>
      <w:r w:rsidR="00874D7C" w:rsidRPr="006529F8">
        <w:rPr>
          <w:rFonts w:ascii="Calibri" w:hAnsi="Calibri" w:cs="Calibri"/>
          <w:i/>
          <w:iCs/>
        </w:rPr>
        <w:t>Womens</w:t>
      </w:r>
      <w:proofErr w:type="spellEnd"/>
      <w:r w:rsidR="00874D7C" w:rsidRPr="006529F8">
        <w:rPr>
          <w:rFonts w:ascii="Calibri" w:hAnsi="Calibri" w:cs="Calibri"/>
          <w:i/>
          <w:iCs/>
        </w:rPr>
        <w:t xml:space="preserve"> Life Centre Inc v Commissioner of the Australian Charities and Not-for-profits Commission</w:t>
      </w:r>
      <w:r w:rsidR="00874D7C" w:rsidRPr="006529F8">
        <w:rPr>
          <w:rFonts w:ascii="Calibri" w:hAnsi="Calibri" w:cs="Calibri"/>
        </w:rPr>
        <w:t xml:space="preserve"> (2021) 112 ATR 967</w:t>
      </w:r>
      <w:r w:rsidR="00DD09C1" w:rsidRPr="006529F8">
        <w:rPr>
          <w:rFonts w:ascii="Calibri" w:hAnsi="Calibri" w:cs="Calibri"/>
        </w:rPr>
        <w:t>, [32] (the Tribunal).</w:t>
      </w:r>
    </w:p>
  </w:footnote>
  <w:footnote w:id="44">
    <w:p w14:paraId="5FF8EAFA" w14:textId="6115721B" w:rsidR="00120A8A" w:rsidRPr="006529F8" w:rsidRDefault="00120A8A">
      <w:pPr>
        <w:pStyle w:val="FootnoteText"/>
        <w:rPr>
          <w:rFonts w:ascii="Calibri" w:hAnsi="Calibri" w:cs="Calibri"/>
          <w:lang w:val="en-AU"/>
        </w:rPr>
      </w:pPr>
      <w:r w:rsidRPr="006529F8">
        <w:rPr>
          <w:rStyle w:val="FootnoteReference"/>
          <w:rFonts w:ascii="Calibri" w:hAnsi="Calibri" w:cs="Calibri"/>
        </w:rPr>
        <w:footnoteRef/>
      </w:r>
      <w:r w:rsidRPr="006529F8">
        <w:rPr>
          <w:rFonts w:ascii="Calibri" w:hAnsi="Calibri" w:cs="Calibri"/>
        </w:rPr>
        <w:t xml:space="preserve"> </w:t>
      </w:r>
      <w:r w:rsidRPr="006529F8">
        <w:rPr>
          <w:rFonts w:ascii="Calibri" w:hAnsi="Calibri" w:cs="Calibri"/>
          <w:i/>
          <w:iCs/>
          <w:lang w:val="en-AU"/>
        </w:rPr>
        <w:t>Navy Health Ltd</w:t>
      </w:r>
      <w:r w:rsidR="00D03C28" w:rsidRPr="006529F8">
        <w:rPr>
          <w:rFonts w:ascii="Calibri" w:hAnsi="Calibri" w:cs="Calibri"/>
          <w:i/>
          <w:iCs/>
          <w:lang w:val="en-AU"/>
        </w:rPr>
        <w:t xml:space="preserve"> v Federal Commissioner of Taxation</w:t>
      </w:r>
      <w:r w:rsidR="00D03C28" w:rsidRPr="006529F8">
        <w:rPr>
          <w:rFonts w:ascii="Calibri" w:hAnsi="Calibri" w:cs="Calibri"/>
          <w:lang w:val="en-AU"/>
        </w:rPr>
        <w:t xml:space="preserve"> (2007) 163 FCR 1, </w:t>
      </w:r>
      <w:r w:rsidR="003E2131" w:rsidRPr="006529F8">
        <w:rPr>
          <w:rFonts w:ascii="Calibri" w:hAnsi="Calibri" w:cs="Calibri"/>
          <w:lang w:val="en-AU"/>
        </w:rPr>
        <w:t>29 [65] (Jessup J).</w:t>
      </w:r>
    </w:p>
  </w:footnote>
  <w:footnote w:id="45">
    <w:p w14:paraId="64972907" w14:textId="1DC311D3" w:rsidR="00FE40D8" w:rsidRPr="0097287F" w:rsidRDefault="00FE40D8">
      <w:pPr>
        <w:pStyle w:val="FootnoteText"/>
        <w:rPr>
          <w:rFonts w:ascii="Calibri" w:hAnsi="Calibri" w:cs="Calibri"/>
          <w:lang w:val="en-AU"/>
        </w:rPr>
      </w:pPr>
      <w:r w:rsidRPr="0097287F">
        <w:rPr>
          <w:rStyle w:val="FootnoteReference"/>
          <w:rFonts w:ascii="Calibri" w:hAnsi="Calibri" w:cs="Calibri"/>
        </w:rPr>
        <w:footnoteRef/>
      </w:r>
      <w:r w:rsidRPr="0097287F">
        <w:rPr>
          <w:rFonts w:ascii="Calibri" w:hAnsi="Calibri" w:cs="Calibri"/>
        </w:rPr>
        <w:t xml:space="preserve"> </w:t>
      </w:r>
      <w:r w:rsidR="005453B4" w:rsidRPr="0097287F">
        <w:rPr>
          <w:rFonts w:ascii="Calibri" w:hAnsi="Calibri" w:cs="Calibri"/>
          <w:i/>
          <w:iCs/>
        </w:rPr>
        <w:t>Navy Health Ltd v Federal Commissioner of Taxation</w:t>
      </w:r>
      <w:r w:rsidR="005453B4" w:rsidRPr="0097287F">
        <w:rPr>
          <w:rFonts w:ascii="Calibri" w:hAnsi="Calibri" w:cs="Calibri"/>
        </w:rPr>
        <w:t xml:space="preserve"> (2007) 163 FCR 1, 29 [65] (Jessup J).</w:t>
      </w:r>
    </w:p>
  </w:footnote>
  <w:footnote w:id="46">
    <w:p w14:paraId="385AD4A9" w14:textId="77777777" w:rsidR="0083542A" w:rsidRPr="006529F8" w:rsidRDefault="0083542A" w:rsidP="0083542A">
      <w:pPr>
        <w:pStyle w:val="FootnoteText"/>
        <w:rPr>
          <w:rFonts w:ascii="Calibri" w:hAnsi="Calibri" w:cs="Calibri"/>
          <w:lang w:val="en-US"/>
        </w:rPr>
      </w:pPr>
      <w:r w:rsidRPr="006529F8">
        <w:rPr>
          <w:rStyle w:val="FootnoteReference"/>
          <w:rFonts w:ascii="Calibri" w:hAnsi="Calibri" w:cs="Calibri"/>
        </w:rPr>
        <w:footnoteRef/>
      </w:r>
      <w:r w:rsidRPr="006529F8">
        <w:rPr>
          <w:rFonts w:ascii="Calibri" w:hAnsi="Calibri" w:cs="Calibri"/>
        </w:rPr>
        <w:t xml:space="preserve"> G E Dal Pont, </w:t>
      </w:r>
      <w:r w:rsidRPr="006529F8">
        <w:rPr>
          <w:rFonts w:ascii="Calibri" w:hAnsi="Calibri" w:cs="Calibri"/>
          <w:i/>
          <w:iCs/>
        </w:rPr>
        <w:t xml:space="preserve">Law of Charity </w:t>
      </w:r>
      <w:r w:rsidRPr="006529F8">
        <w:rPr>
          <w:rFonts w:ascii="Calibri" w:hAnsi="Calibri" w:cs="Calibri"/>
        </w:rPr>
        <w:t>(LexisNexis Butterworths, 2010) 37 [2.8].</w:t>
      </w:r>
    </w:p>
  </w:footnote>
  <w:footnote w:id="47">
    <w:p w14:paraId="09E5B37F" w14:textId="0C6F47D5" w:rsidR="00A97B86" w:rsidRPr="00A97B86" w:rsidRDefault="00A97B86">
      <w:pPr>
        <w:pStyle w:val="FootnoteText"/>
        <w:rPr>
          <w:lang w:val="en-AU"/>
        </w:rPr>
      </w:pPr>
      <w:r w:rsidRPr="006529F8">
        <w:rPr>
          <w:rStyle w:val="FootnoteReference"/>
          <w:rFonts w:ascii="Calibri" w:hAnsi="Calibri" w:cs="Calibri"/>
        </w:rPr>
        <w:footnoteRef/>
      </w:r>
      <w:r w:rsidRPr="006529F8">
        <w:rPr>
          <w:rFonts w:ascii="Calibri" w:hAnsi="Calibri" w:cs="Calibri"/>
        </w:rPr>
        <w:t xml:space="preserve"> </w:t>
      </w:r>
      <w:r w:rsidRPr="006529F8">
        <w:rPr>
          <w:rFonts w:ascii="Calibri" w:hAnsi="Calibri" w:cs="Calibri"/>
          <w:lang w:val="en-AU"/>
        </w:rPr>
        <w:t xml:space="preserve">See, for example, </w:t>
      </w:r>
      <w:r w:rsidR="0014407F" w:rsidRPr="006529F8">
        <w:rPr>
          <w:rFonts w:ascii="Calibri" w:hAnsi="Calibri" w:cs="Calibri"/>
          <w:i/>
          <w:iCs/>
          <w:lang w:val="en-AU"/>
        </w:rPr>
        <w:t>Borough of Leicester v Moran</w:t>
      </w:r>
      <w:r w:rsidR="0014407F" w:rsidRPr="006529F8">
        <w:rPr>
          <w:rFonts w:ascii="Calibri" w:hAnsi="Calibri" w:cs="Calibri"/>
          <w:lang w:val="en-AU"/>
        </w:rPr>
        <w:t xml:space="preserve"> (1904) </w:t>
      </w:r>
      <w:r w:rsidR="00A31A7B" w:rsidRPr="006529F8">
        <w:rPr>
          <w:rFonts w:ascii="Calibri" w:hAnsi="Calibri" w:cs="Calibri"/>
          <w:lang w:val="en-AU"/>
        </w:rPr>
        <w:t>4 SR (NSW) 361.</w:t>
      </w:r>
    </w:p>
  </w:footnote>
  <w:footnote w:id="48">
    <w:p w14:paraId="4AE403A9" w14:textId="20E9BB70" w:rsidR="00FE77A9" w:rsidRPr="00FA598D" w:rsidRDefault="00FE77A9">
      <w:pPr>
        <w:pStyle w:val="FootnoteText"/>
        <w:rPr>
          <w:rFonts w:ascii="Calibri" w:hAnsi="Calibri" w:cs="Calibri"/>
          <w:lang w:val="en-AU"/>
        </w:rPr>
      </w:pPr>
      <w:r w:rsidRPr="00FA598D">
        <w:rPr>
          <w:rStyle w:val="FootnoteReference"/>
          <w:rFonts w:ascii="Calibri" w:hAnsi="Calibri" w:cs="Calibri"/>
        </w:rPr>
        <w:footnoteRef/>
      </w:r>
      <w:r w:rsidRPr="00FA598D">
        <w:rPr>
          <w:rFonts w:ascii="Calibri" w:hAnsi="Calibri" w:cs="Calibri"/>
        </w:rPr>
        <w:t xml:space="preserve"> </w:t>
      </w:r>
      <w:r w:rsidRPr="00FA598D">
        <w:rPr>
          <w:rFonts w:ascii="Calibri" w:hAnsi="Calibri" w:cs="Calibri"/>
          <w:i/>
          <w:iCs/>
        </w:rPr>
        <w:t>Maughan v Federal Commissioner of Taxation</w:t>
      </w:r>
      <w:r w:rsidRPr="00FA598D">
        <w:rPr>
          <w:rFonts w:ascii="Calibri" w:hAnsi="Calibri" w:cs="Calibri"/>
        </w:rPr>
        <w:t xml:space="preserve"> (1942) 66 CLR 388, 397 (Williams J).</w:t>
      </w:r>
    </w:p>
  </w:footnote>
  <w:footnote w:id="49">
    <w:p w14:paraId="5D2A8E3F" w14:textId="4F0D63F8" w:rsidR="001C2134" w:rsidRPr="00FA598D" w:rsidRDefault="001C2134">
      <w:pPr>
        <w:pStyle w:val="FootnoteText"/>
        <w:rPr>
          <w:rFonts w:ascii="Calibri" w:hAnsi="Calibri" w:cs="Calibri"/>
          <w:lang w:val="en-AU"/>
        </w:rPr>
      </w:pPr>
      <w:r w:rsidRPr="00FA598D">
        <w:rPr>
          <w:rStyle w:val="FootnoteReference"/>
          <w:rFonts w:ascii="Calibri" w:hAnsi="Calibri" w:cs="Calibri"/>
        </w:rPr>
        <w:footnoteRef/>
      </w:r>
      <w:r w:rsidRPr="00FA598D">
        <w:rPr>
          <w:rFonts w:ascii="Calibri" w:hAnsi="Calibri" w:cs="Calibri"/>
        </w:rPr>
        <w:t xml:space="preserve"> </w:t>
      </w:r>
      <w:proofErr w:type="spellStart"/>
      <w:r w:rsidR="003C3458" w:rsidRPr="00FA598D">
        <w:rPr>
          <w:rFonts w:ascii="Calibri" w:hAnsi="Calibri" w:cs="Calibri"/>
          <w:i/>
          <w:iCs/>
        </w:rPr>
        <w:t>Lemm</w:t>
      </w:r>
      <w:proofErr w:type="spellEnd"/>
      <w:r w:rsidR="003C3458" w:rsidRPr="00FA598D">
        <w:rPr>
          <w:rFonts w:ascii="Calibri" w:hAnsi="Calibri" w:cs="Calibri"/>
          <w:i/>
          <w:iCs/>
        </w:rPr>
        <w:t xml:space="preserve"> </w:t>
      </w:r>
      <w:r w:rsidR="0043458B" w:rsidRPr="00FA598D">
        <w:rPr>
          <w:rFonts w:ascii="Calibri" w:hAnsi="Calibri" w:cs="Calibri"/>
          <w:i/>
          <w:iCs/>
        </w:rPr>
        <w:t>v Federal Commissioner of Taxation</w:t>
      </w:r>
      <w:r w:rsidR="0043458B" w:rsidRPr="00FA598D">
        <w:rPr>
          <w:rFonts w:ascii="Calibri" w:hAnsi="Calibri" w:cs="Calibri"/>
        </w:rPr>
        <w:t xml:space="preserve"> (1942) 66 CLR 388</w:t>
      </w:r>
      <w:r w:rsidR="00DE4BEA" w:rsidRPr="00FA598D">
        <w:rPr>
          <w:rFonts w:ascii="Calibri" w:hAnsi="Calibri" w:cs="Calibri"/>
        </w:rPr>
        <w:t xml:space="preserve">; </w:t>
      </w:r>
      <w:r w:rsidR="000C05A2" w:rsidRPr="00FA598D">
        <w:rPr>
          <w:rFonts w:ascii="Calibri" w:hAnsi="Calibri" w:cs="Calibri"/>
          <w:i/>
          <w:iCs/>
          <w:lang w:val="en-AU"/>
        </w:rPr>
        <w:t>Northern Land Council v Commissioner of Taxes</w:t>
      </w:r>
      <w:r w:rsidR="000C05A2" w:rsidRPr="00FA598D">
        <w:rPr>
          <w:rFonts w:ascii="Calibri" w:hAnsi="Calibri" w:cs="Calibri"/>
          <w:lang w:val="en-AU"/>
        </w:rPr>
        <w:t xml:space="preserve"> [2002] NTCA 1</w:t>
      </w:r>
      <w:r w:rsidR="001B4BF9" w:rsidRPr="00FA598D">
        <w:rPr>
          <w:rFonts w:ascii="Calibri" w:hAnsi="Calibri" w:cs="Calibri"/>
          <w:lang w:val="en-AU"/>
        </w:rPr>
        <w:t>,</w:t>
      </w:r>
      <w:r w:rsidR="002C2FA7" w:rsidRPr="00FA598D">
        <w:rPr>
          <w:rFonts w:ascii="Calibri" w:hAnsi="Calibri" w:cs="Calibri"/>
          <w:lang w:val="en-AU"/>
        </w:rPr>
        <w:t xml:space="preserve"> </w:t>
      </w:r>
      <w:r w:rsidR="00DE4BEA" w:rsidRPr="00FA598D">
        <w:rPr>
          <w:rFonts w:ascii="Calibri" w:hAnsi="Calibri" w:cs="Calibri"/>
          <w:lang w:val="en-AU"/>
        </w:rPr>
        <w:t>6</w:t>
      </w:r>
      <w:r w:rsidR="001B4BF9" w:rsidRPr="00FA598D">
        <w:rPr>
          <w:rFonts w:ascii="Calibri" w:hAnsi="Calibri" w:cs="Calibri"/>
          <w:lang w:val="en-AU"/>
        </w:rPr>
        <w:t xml:space="preserve"> [</w:t>
      </w:r>
      <w:r w:rsidR="00DE4BEA" w:rsidRPr="00FA598D">
        <w:rPr>
          <w:rFonts w:ascii="Calibri" w:hAnsi="Calibri" w:cs="Calibri"/>
          <w:lang w:val="en-AU"/>
        </w:rPr>
        <w:t>17</w:t>
      </w:r>
      <w:r w:rsidR="001B4BF9" w:rsidRPr="00FA598D">
        <w:rPr>
          <w:rFonts w:ascii="Calibri" w:hAnsi="Calibri" w:cs="Calibri"/>
          <w:lang w:val="en-AU"/>
        </w:rPr>
        <w:t>]</w:t>
      </w:r>
      <w:r w:rsidR="000C4D06" w:rsidRPr="00FA598D">
        <w:rPr>
          <w:rFonts w:ascii="Calibri" w:hAnsi="Calibri" w:cs="Calibri"/>
          <w:lang w:val="en-AU"/>
        </w:rPr>
        <w:t xml:space="preserve"> (</w:t>
      </w:r>
      <w:proofErr w:type="spellStart"/>
      <w:r w:rsidR="000C4D06" w:rsidRPr="00FA598D">
        <w:rPr>
          <w:rFonts w:ascii="Calibri" w:hAnsi="Calibri" w:cs="Calibri"/>
          <w:lang w:val="en-AU"/>
        </w:rPr>
        <w:t>Mildren</w:t>
      </w:r>
      <w:proofErr w:type="spellEnd"/>
      <w:r w:rsidR="000C4D06" w:rsidRPr="00FA598D">
        <w:rPr>
          <w:rFonts w:ascii="Calibri" w:hAnsi="Calibri" w:cs="Calibri"/>
          <w:lang w:val="en-AU"/>
        </w:rPr>
        <w:t xml:space="preserve"> J)</w:t>
      </w:r>
      <w:r w:rsidR="00FA2921" w:rsidRPr="00FA598D">
        <w:rPr>
          <w:rFonts w:ascii="Calibri" w:hAnsi="Calibri" w:cs="Calibri"/>
          <w:lang w:val="en-AU"/>
        </w:rPr>
        <w:t>.</w:t>
      </w:r>
    </w:p>
  </w:footnote>
  <w:footnote w:id="50">
    <w:p w14:paraId="76035CE2" w14:textId="66B99B52" w:rsidR="00F91C5B" w:rsidRPr="00FA598D" w:rsidRDefault="00F91C5B">
      <w:pPr>
        <w:pStyle w:val="FootnoteText"/>
        <w:rPr>
          <w:rFonts w:ascii="Calibri" w:hAnsi="Calibri" w:cs="Calibri"/>
          <w:lang w:val="en-AU"/>
        </w:rPr>
      </w:pPr>
      <w:r w:rsidRPr="00FA598D">
        <w:rPr>
          <w:rStyle w:val="FootnoteReference"/>
          <w:rFonts w:ascii="Calibri" w:hAnsi="Calibri" w:cs="Calibri"/>
        </w:rPr>
        <w:footnoteRef/>
      </w:r>
      <w:r w:rsidRPr="00FA598D">
        <w:rPr>
          <w:rFonts w:ascii="Calibri" w:hAnsi="Calibri" w:cs="Calibri"/>
        </w:rPr>
        <w:t xml:space="preserve"> </w:t>
      </w:r>
      <w:r w:rsidR="00751AB0" w:rsidRPr="00FA598D">
        <w:rPr>
          <w:rFonts w:ascii="Calibri" w:hAnsi="Calibri" w:cs="Calibri"/>
          <w:i/>
          <w:iCs/>
        </w:rPr>
        <w:t>Re Income Tax Acts No. 1</w:t>
      </w:r>
      <w:r w:rsidR="00751AB0" w:rsidRPr="00FA598D">
        <w:rPr>
          <w:rFonts w:ascii="Calibri" w:hAnsi="Calibri" w:cs="Calibri"/>
        </w:rPr>
        <w:t xml:space="preserve"> [1930] VLR 211, 215 (Irvine CJ); 216-217 (</w:t>
      </w:r>
      <w:proofErr w:type="spellStart"/>
      <w:r w:rsidR="00751AB0" w:rsidRPr="00FA598D">
        <w:rPr>
          <w:rFonts w:ascii="Calibri" w:hAnsi="Calibri" w:cs="Calibri"/>
        </w:rPr>
        <w:t>Macfarlan</w:t>
      </w:r>
      <w:proofErr w:type="spellEnd"/>
      <w:r w:rsidR="00751AB0" w:rsidRPr="00FA598D">
        <w:rPr>
          <w:rFonts w:ascii="Calibri" w:hAnsi="Calibri" w:cs="Calibri"/>
        </w:rPr>
        <w:t xml:space="preserve"> J</w:t>
      </w:r>
      <w:r w:rsidR="005372EF" w:rsidRPr="00FA598D">
        <w:rPr>
          <w:rFonts w:ascii="Calibri" w:hAnsi="Calibri" w:cs="Calibri"/>
        </w:rPr>
        <w:t>).</w:t>
      </w:r>
    </w:p>
  </w:footnote>
  <w:footnote w:id="51">
    <w:p w14:paraId="24DBC7A6" w14:textId="002A7652" w:rsidR="00C662CE" w:rsidRPr="00FA598D" w:rsidRDefault="00C662CE">
      <w:pPr>
        <w:pStyle w:val="FootnoteText"/>
        <w:rPr>
          <w:rFonts w:ascii="Calibri" w:hAnsi="Calibri" w:cs="Calibri"/>
          <w:lang w:val="en-AU"/>
        </w:rPr>
      </w:pPr>
      <w:r w:rsidRPr="00FA598D">
        <w:rPr>
          <w:rStyle w:val="FootnoteReference"/>
          <w:rFonts w:ascii="Calibri" w:hAnsi="Calibri" w:cs="Calibri"/>
        </w:rPr>
        <w:footnoteRef/>
      </w:r>
      <w:r w:rsidRPr="00FA598D">
        <w:rPr>
          <w:rFonts w:ascii="Calibri" w:hAnsi="Calibri" w:cs="Calibri"/>
        </w:rPr>
        <w:t xml:space="preserve"> </w:t>
      </w:r>
      <w:r w:rsidR="008D5478" w:rsidRPr="00FA598D">
        <w:rPr>
          <w:rFonts w:ascii="Calibri" w:hAnsi="Calibri" w:cs="Calibri"/>
          <w:i/>
          <w:iCs/>
        </w:rPr>
        <w:t>Trustees of the Indigenous Barristers’ Trust v Federal Commissioner of Taxation</w:t>
      </w:r>
      <w:r w:rsidR="008D5478" w:rsidRPr="00FA598D">
        <w:rPr>
          <w:rFonts w:ascii="Calibri" w:hAnsi="Calibri" w:cs="Calibri"/>
        </w:rPr>
        <w:t xml:space="preserve"> (2002) FCR 63, 72</w:t>
      </w:r>
      <w:r w:rsidR="00B95141" w:rsidRPr="00FA598D">
        <w:rPr>
          <w:rFonts w:ascii="Calibri" w:hAnsi="Calibri" w:cs="Calibri"/>
        </w:rPr>
        <w:t xml:space="preserve"> [13]</w:t>
      </w:r>
      <w:r w:rsidR="008D5478" w:rsidRPr="00FA598D">
        <w:rPr>
          <w:rFonts w:ascii="Calibri" w:hAnsi="Calibri" w:cs="Calibri"/>
        </w:rPr>
        <w:t xml:space="preserve"> (</w:t>
      </w:r>
      <w:proofErr w:type="spellStart"/>
      <w:r w:rsidR="008D5478" w:rsidRPr="00FA598D">
        <w:rPr>
          <w:rFonts w:ascii="Calibri" w:hAnsi="Calibri" w:cs="Calibri"/>
        </w:rPr>
        <w:t>Gyles</w:t>
      </w:r>
      <w:proofErr w:type="spellEnd"/>
      <w:r w:rsidR="008D5478" w:rsidRPr="00FA598D">
        <w:rPr>
          <w:rFonts w:ascii="Calibri" w:hAnsi="Calibri" w:cs="Calibri"/>
        </w:rPr>
        <w:t xml:space="preserve"> J)</w:t>
      </w:r>
      <w:r w:rsidR="0056354E" w:rsidRPr="00FA598D">
        <w:rPr>
          <w:rFonts w:ascii="Calibri" w:hAnsi="Calibri" w:cs="Calibri"/>
        </w:rPr>
        <w:t>.</w:t>
      </w:r>
    </w:p>
  </w:footnote>
  <w:footnote w:id="52">
    <w:p w14:paraId="13E4C9EC" w14:textId="60C7C506" w:rsidR="006C78D5" w:rsidRPr="00FA598D" w:rsidRDefault="006C78D5">
      <w:pPr>
        <w:pStyle w:val="FootnoteText"/>
        <w:rPr>
          <w:rFonts w:ascii="Calibri" w:hAnsi="Calibri" w:cs="Calibri"/>
          <w:lang w:val="en-AU"/>
        </w:rPr>
      </w:pPr>
      <w:r w:rsidRPr="00FA598D">
        <w:rPr>
          <w:rStyle w:val="FootnoteReference"/>
          <w:rFonts w:ascii="Calibri" w:hAnsi="Calibri" w:cs="Calibri"/>
        </w:rPr>
        <w:footnoteRef/>
      </w:r>
      <w:r w:rsidRPr="00FA598D">
        <w:rPr>
          <w:rFonts w:ascii="Calibri" w:hAnsi="Calibri" w:cs="Calibri"/>
        </w:rPr>
        <w:t xml:space="preserve"> </w:t>
      </w:r>
      <w:r w:rsidRPr="00FA598D">
        <w:rPr>
          <w:rFonts w:ascii="Calibri" w:hAnsi="Calibri" w:cs="Calibri"/>
          <w:i/>
          <w:iCs/>
          <w:lang w:val="en-AU"/>
        </w:rPr>
        <w:t>Re Income Tax Acts No. 1</w:t>
      </w:r>
      <w:r w:rsidRPr="00FA598D">
        <w:rPr>
          <w:rFonts w:ascii="Calibri" w:hAnsi="Calibri" w:cs="Calibri"/>
          <w:lang w:val="en-AU"/>
        </w:rPr>
        <w:t xml:space="preserve"> </w:t>
      </w:r>
      <w:r w:rsidR="00D77FDC" w:rsidRPr="00FA598D">
        <w:rPr>
          <w:rFonts w:ascii="Calibri" w:hAnsi="Calibri" w:cs="Calibri"/>
          <w:lang w:val="en-AU"/>
        </w:rPr>
        <w:t xml:space="preserve">[1930] VLR 211, 215 (Irvine CJ); </w:t>
      </w:r>
      <w:r w:rsidR="00ED7D3F" w:rsidRPr="00FA598D">
        <w:rPr>
          <w:rFonts w:ascii="Calibri" w:hAnsi="Calibri" w:cs="Calibri"/>
          <w:lang w:val="en-AU"/>
        </w:rPr>
        <w:t>216-217 (</w:t>
      </w:r>
      <w:proofErr w:type="spellStart"/>
      <w:r w:rsidR="00ED7D3F" w:rsidRPr="00FA598D">
        <w:rPr>
          <w:rFonts w:ascii="Calibri" w:hAnsi="Calibri" w:cs="Calibri"/>
          <w:lang w:val="en-AU"/>
        </w:rPr>
        <w:t>Macfarlan</w:t>
      </w:r>
      <w:proofErr w:type="spellEnd"/>
      <w:r w:rsidR="00ED7D3F" w:rsidRPr="00FA598D">
        <w:rPr>
          <w:rFonts w:ascii="Calibri" w:hAnsi="Calibri" w:cs="Calibri"/>
          <w:lang w:val="en-AU"/>
        </w:rPr>
        <w:t xml:space="preserve"> J);</w:t>
      </w:r>
      <w:r w:rsidR="003471EF" w:rsidRPr="00FA598D">
        <w:rPr>
          <w:rFonts w:ascii="Calibri" w:hAnsi="Calibri" w:cs="Calibri"/>
          <w:lang w:val="en-AU"/>
        </w:rPr>
        <w:t xml:space="preserve"> 222 (Lowe J)</w:t>
      </w:r>
      <w:r w:rsidR="004F74C2">
        <w:rPr>
          <w:rFonts w:ascii="Calibri" w:hAnsi="Calibri" w:cs="Calibri"/>
          <w:lang w:val="en-AU"/>
        </w:rPr>
        <w:t xml:space="preserve">; </w:t>
      </w:r>
      <w:r w:rsidR="00AE67CF" w:rsidRPr="00F440A4">
        <w:rPr>
          <w:rFonts w:ascii="Calibri" w:hAnsi="Calibri" w:cs="Calibri"/>
          <w:i/>
          <w:iCs/>
          <w:lang w:val="en-AU"/>
        </w:rPr>
        <w:t xml:space="preserve">O’Connell v </w:t>
      </w:r>
      <w:r w:rsidR="00F440A4" w:rsidRPr="00F440A4">
        <w:rPr>
          <w:rFonts w:ascii="Calibri" w:hAnsi="Calibri" w:cs="Calibri"/>
          <w:i/>
          <w:iCs/>
          <w:lang w:val="en-AU"/>
        </w:rPr>
        <w:t xml:space="preserve">City of Greater Newcastle </w:t>
      </w:r>
      <w:r w:rsidR="00F440A4">
        <w:rPr>
          <w:rFonts w:ascii="Calibri" w:hAnsi="Calibri" w:cs="Calibri"/>
          <w:lang w:val="en-AU"/>
        </w:rPr>
        <w:t>(1941) 41 SR (NSW) 190 (</w:t>
      </w:r>
      <w:r w:rsidR="00ED2EF3">
        <w:rPr>
          <w:rFonts w:ascii="Calibri" w:hAnsi="Calibri" w:cs="Calibri"/>
          <w:lang w:val="en-AU"/>
        </w:rPr>
        <w:t>Jordan CJ)</w:t>
      </w:r>
      <w:r w:rsidR="003471EF" w:rsidRPr="00FA598D">
        <w:rPr>
          <w:rFonts w:ascii="Calibri" w:hAnsi="Calibri" w:cs="Calibri"/>
          <w:lang w:val="en-AU"/>
        </w:rPr>
        <w:t>.</w:t>
      </w:r>
      <w:r w:rsidR="00ED7D3F" w:rsidRPr="00FA598D">
        <w:rPr>
          <w:rFonts w:ascii="Calibri" w:hAnsi="Calibri" w:cs="Calibri"/>
          <w:lang w:val="en-AU"/>
        </w:rPr>
        <w:t xml:space="preserve">  </w:t>
      </w:r>
    </w:p>
  </w:footnote>
  <w:footnote w:id="53">
    <w:p w14:paraId="58178F7E" w14:textId="0A3EC32E" w:rsidR="00B248AD" w:rsidRPr="00E03823" w:rsidRDefault="00B248AD">
      <w:pPr>
        <w:pStyle w:val="FootnoteText"/>
        <w:rPr>
          <w:lang w:val="en-AU"/>
        </w:rPr>
      </w:pPr>
      <w:r>
        <w:rPr>
          <w:rStyle w:val="FootnoteReference"/>
        </w:rPr>
        <w:footnoteRef/>
      </w:r>
      <w:r>
        <w:t xml:space="preserve"> </w:t>
      </w:r>
      <w:proofErr w:type="spellStart"/>
      <w:r w:rsidRPr="00E03823">
        <w:rPr>
          <w:rFonts w:ascii="Calibri" w:hAnsi="Calibri" w:cs="Calibri"/>
          <w:i/>
          <w:iCs/>
        </w:rPr>
        <w:t>Lemm</w:t>
      </w:r>
      <w:proofErr w:type="spellEnd"/>
      <w:r w:rsidRPr="00E03823">
        <w:rPr>
          <w:rFonts w:ascii="Calibri" w:hAnsi="Calibri" w:cs="Calibri"/>
          <w:i/>
          <w:iCs/>
        </w:rPr>
        <w:t xml:space="preserve"> v Federal Commissioner of Taxation</w:t>
      </w:r>
      <w:r w:rsidRPr="00B248AD">
        <w:t xml:space="preserve"> (1942) 66 CLR 399.</w:t>
      </w:r>
    </w:p>
  </w:footnote>
  <w:footnote w:id="54">
    <w:p w14:paraId="262F5A94" w14:textId="1C1AC587" w:rsidR="002524FF" w:rsidRPr="00FA598D" w:rsidRDefault="002524FF">
      <w:pPr>
        <w:pStyle w:val="FootnoteText"/>
        <w:rPr>
          <w:rFonts w:ascii="Calibri" w:hAnsi="Calibri" w:cs="Calibri"/>
          <w:lang w:val="en-AU"/>
        </w:rPr>
      </w:pPr>
      <w:r w:rsidRPr="00FA598D">
        <w:rPr>
          <w:rStyle w:val="FootnoteReference"/>
          <w:rFonts w:ascii="Calibri" w:hAnsi="Calibri" w:cs="Calibri"/>
        </w:rPr>
        <w:footnoteRef/>
      </w:r>
      <w:r w:rsidRPr="00FA598D">
        <w:rPr>
          <w:rFonts w:ascii="Calibri" w:hAnsi="Calibri" w:cs="Calibri"/>
        </w:rPr>
        <w:t xml:space="preserve"> </w:t>
      </w:r>
      <w:proofErr w:type="spellStart"/>
      <w:r w:rsidR="001866C7" w:rsidRPr="00FA598D">
        <w:rPr>
          <w:rFonts w:ascii="Calibri" w:hAnsi="Calibri" w:cs="Calibri"/>
          <w:i/>
          <w:iCs/>
        </w:rPr>
        <w:t>Lemm</w:t>
      </w:r>
      <w:proofErr w:type="spellEnd"/>
      <w:r w:rsidR="001866C7" w:rsidRPr="00FA598D">
        <w:rPr>
          <w:rFonts w:ascii="Calibri" w:hAnsi="Calibri" w:cs="Calibri"/>
          <w:i/>
          <w:iCs/>
        </w:rPr>
        <w:t xml:space="preserve"> v Federal Commissioner of Taxation </w:t>
      </w:r>
      <w:r w:rsidR="001866C7" w:rsidRPr="00FA598D">
        <w:rPr>
          <w:rFonts w:ascii="Calibri" w:hAnsi="Calibri" w:cs="Calibri"/>
        </w:rPr>
        <w:t>(1942) 66 CLR 399, 41</w:t>
      </w:r>
      <w:r w:rsidR="00940457" w:rsidRPr="00FA598D">
        <w:rPr>
          <w:rFonts w:ascii="Calibri" w:hAnsi="Calibri" w:cs="Calibri"/>
        </w:rPr>
        <w:t>0</w:t>
      </w:r>
      <w:r w:rsidR="001E3254">
        <w:rPr>
          <w:rFonts w:ascii="Calibri" w:hAnsi="Calibri" w:cs="Calibri"/>
        </w:rPr>
        <w:t xml:space="preserve"> (Williams J)</w:t>
      </w:r>
      <w:r w:rsidR="001866C7" w:rsidRPr="00FA598D">
        <w:rPr>
          <w:rFonts w:ascii="Calibri" w:hAnsi="Calibri" w:cs="Calibri"/>
        </w:rPr>
        <w:t>.</w:t>
      </w:r>
    </w:p>
  </w:footnote>
  <w:footnote w:id="55">
    <w:p w14:paraId="766DD4C4" w14:textId="2DE0BE4F" w:rsidR="00EE7674" w:rsidRPr="00FA598D" w:rsidRDefault="00EE7674">
      <w:pPr>
        <w:pStyle w:val="FootnoteText"/>
        <w:rPr>
          <w:rFonts w:ascii="Calibri" w:hAnsi="Calibri" w:cs="Calibri"/>
          <w:lang w:val="en-AU"/>
        </w:rPr>
      </w:pPr>
      <w:r w:rsidRPr="00FA598D">
        <w:rPr>
          <w:rStyle w:val="FootnoteReference"/>
          <w:rFonts w:ascii="Calibri" w:hAnsi="Calibri" w:cs="Calibri"/>
        </w:rPr>
        <w:footnoteRef/>
      </w:r>
      <w:r w:rsidRPr="00FA598D">
        <w:rPr>
          <w:rFonts w:ascii="Calibri" w:hAnsi="Calibri" w:cs="Calibri"/>
        </w:rPr>
        <w:t xml:space="preserve"> </w:t>
      </w:r>
      <w:proofErr w:type="spellStart"/>
      <w:r w:rsidRPr="00FA598D">
        <w:rPr>
          <w:rFonts w:ascii="Calibri" w:hAnsi="Calibri" w:cs="Calibri"/>
          <w:i/>
          <w:iCs/>
        </w:rPr>
        <w:t>Lemm</w:t>
      </w:r>
      <w:proofErr w:type="spellEnd"/>
      <w:r w:rsidRPr="00FA598D">
        <w:rPr>
          <w:rFonts w:ascii="Calibri" w:hAnsi="Calibri" w:cs="Calibri"/>
          <w:i/>
          <w:iCs/>
        </w:rPr>
        <w:t xml:space="preserve"> v Federal Commissioner of Taxation</w:t>
      </w:r>
      <w:r w:rsidRPr="00FA598D">
        <w:rPr>
          <w:rFonts w:ascii="Calibri" w:hAnsi="Calibri" w:cs="Calibri"/>
        </w:rPr>
        <w:t xml:space="preserve"> (1942) 66 CLR 399, 410</w:t>
      </w:r>
      <w:r w:rsidR="00516F4B">
        <w:rPr>
          <w:rFonts w:ascii="Calibri" w:hAnsi="Calibri" w:cs="Calibri"/>
        </w:rPr>
        <w:t xml:space="preserve"> (Williams J)</w:t>
      </w:r>
      <w:r w:rsidRPr="00FA598D">
        <w:rPr>
          <w:rFonts w:ascii="Calibri" w:hAnsi="Calibri" w:cs="Calibri"/>
        </w:rPr>
        <w:t>.</w:t>
      </w:r>
    </w:p>
  </w:footnote>
  <w:footnote w:id="56">
    <w:p w14:paraId="58D4DB9B" w14:textId="484BC029" w:rsidR="00B248AD" w:rsidRPr="00E76C5D" w:rsidRDefault="00B248AD">
      <w:pPr>
        <w:pStyle w:val="FootnoteText"/>
        <w:rPr>
          <w:rFonts w:ascii="Calibri" w:hAnsi="Calibri" w:cs="Calibri"/>
          <w:lang w:val="en-AU"/>
        </w:rPr>
      </w:pPr>
      <w:r w:rsidRPr="00E76C5D">
        <w:rPr>
          <w:rStyle w:val="FootnoteReference"/>
          <w:rFonts w:ascii="Calibri" w:hAnsi="Calibri" w:cs="Calibri"/>
        </w:rPr>
        <w:footnoteRef/>
      </w:r>
      <w:r w:rsidRPr="00E76C5D">
        <w:rPr>
          <w:rFonts w:ascii="Calibri" w:hAnsi="Calibri" w:cs="Calibri"/>
        </w:rPr>
        <w:t xml:space="preserve"> </w:t>
      </w:r>
      <w:r w:rsidRPr="00E76C5D">
        <w:rPr>
          <w:rFonts w:ascii="Calibri" w:hAnsi="Calibri" w:cs="Calibri"/>
          <w:i/>
          <w:iCs/>
        </w:rPr>
        <w:t xml:space="preserve">Re Income Tax Acts No. 1 </w:t>
      </w:r>
      <w:r w:rsidRPr="00E76C5D">
        <w:rPr>
          <w:rFonts w:ascii="Calibri" w:hAnsi="Calibri" w:cs="Calibri"/>
        </w:rPr>
        <w:t>[1930] VLR 211.</w:t>
      </w:r>
    </w:p>
  </w:footnote>
  <w:footnote w:id="57">
    <w:p w14:paraId="7AFC02AE" w14:textId="09E35038" w:rsidR="004F4700" w:rsidRPr="0056354E" w:rsidRDefault="004F4700">
      <w:pPr>
        <w:pStyle w:val="FootnoteText"/>
        <w:rPr>
          <w:rFonts w:ascii="Calibri" w:hAnsi="Calibri" w:cs="Calibri"/>
          <w:lang w:val="en-AU"/>
        </w:rPr>
      </w:pPr>
      <w:r w:rsidRPr="0056354E">
        <w:rPr>
          <w:rStyle w:val="FootnoteReference"/>
          <w:rFonts w:ascii="Calibri" w:hAnsi="Calibri" w:cs="Calibri"/>
        </w:rPr>
        <w:footnoteRef/>
      </w:r>
      <w:r w:rsidRPr="0056354E">
        <w:rPr>
          <w:rFonts w:ascii="Calibri" w:hAnsi="Calibri" w:cs="Calibri"/>
        </w:rPr>
        <w:t xml:space="preserve"> </w:t>
      </w:r>
      <w:r w:rsidR="00AA59CD" w:rsidRPr="00CE58AB">
        <w:rPr>
          <w:rFonts w:ascii="Calibri" w:hAnsi="Calibri" w:cs="Calibri"/>
          <w:i/>
          <w:iCs/>
        </w:rPr>
        <w:t>Maughan v Federal Commissioner of Taxation</w:t>
      </w:r>
      <w:r w:rsidR="00AA59CD" w:rsidRPr="00AA59CD">
        <w:rPr>
          <w:rFonts w:ascii="Calibri" w:hAnsi="Calibri" w:cs="Calibri"/>
        </w:rPr>
        <w:t xml:space="preserve"> (1942) 66 CLR 388, </w:t>
      </w:r>
      <w:r w:rsidR="00AA59CD">
        <w:rPr>
          <w:rFonts w:ascii="Calibri" w:hAnsi="Calibri" w:cs="Calibri"/>
        </w:rPr>
        <w:t>397 (Williams J)</w:t>
      </w:r>
      <w:r w:rsidR="00AA59CD" w:rsidRPr="00AA59CD">
        <w:rPr>
          <w:rFonts w:ascii="Calibri" w:hAnsi="Calibri" w:cs="Calibri"/>
        </w:rPr>
        <w:t>.</w:t>
      </w:r>
    </w:p>
  </w:footnote>
  <w:footnote w:id="58">
    <w:p w14:paraId="105EEF38" w14:textId="1B936B67" w:rsidR="00D9206F" w:rsidRPr="0056354E" w:rsidRDefault="00D9206F">
      <w:pPr>
        <w:pStyle w:val="FootnoteText"/>
        <w:rPr>
          <w:rFonts w:ascii="Calibri" w:hAnsi="Calibri" w:cs="Calibri"/>
          <w:lang w:val="en-AU"/>
        </w:rPr>
      </w:pPr>
      <w:r w:rsidRPr="0056354E">
        <w:rPr>
          <w:rStyle w:val="FootnoteReference"/>
          <w:rFonts w:ascii="Calibri" w:hAnsi="Calibri" w:cs="Calibri"/>
        </w:rPr>
        <w:footnoteRef/>
      </w:r>
      <w:r w:rsidRPr="0056354E">
        <w:rPr>
          <w:rFonts w:ascii="Calibri" w:hAnsi="Calibri" w:cs="Calibri"/>
        </w:rPr>
        <w:t xml:space="preserve"> </w:t>
      </w:r>
      <w:r w:rsidR="00DF77DE" w:rsidRPr="0056354E">
        <w:rPr>
          <w:rFonts w:ascii="Calibri" w:hAnsi="Calibri" w:cs="Calibri"/>
          <w:lang w:val="en-AU"/>
        </w:rPr>
        <w:t>See, for example,</w:t>
      </w:r>
      <w:r w:rsidR="008A25A3" w:rsidRPr="0056354E">
        <w:rPr>
          <w:rFonts w:ascii="Calibri" w:hAnsi="Calibri" w:cs="Calibri"/>
          <w:lang w:val="en-AU"/>
        </w:rPr>
        <w:t xml:space="preserve"> </w:t>
      </w:r>
      <w:r w:rsidR="008A25A3" w:rsidRPr="0056354E">
        <w:rPr>
          <w:rFonts w:ascii="Calibri" w:hAnsi="Calibri" w:cs="Calibri"/>
          <w:i/>
          <w:iCs/>
          <w:lang w:val="en-AU"/>
        </w:rPr>
        <w:t>Perpetual Trustee Co Ltd v Federal Commissioner of Taxation</w:t>
      </w:r>
      <w:r w:rsidR="008A25A3" w:rsidRPr="0056354E">
        <w:rPr>
          <w:rFonts w:ascii="Calibri" w:hAnsi="Calibri" w:cs="Calibri"/>
          <w:lang w:val="en-AU"/>
        </w:rPr>
        <w:t xml:space="preserve"> (1931) 45 CLR 224, </w:t>
      </w:r>
      <w:r w:rsidR="004A4EBE" w:rsidRPr="0056354E">
        <w:rPr>
          <w:rFonts w:ascii="Calibri" w:hAnsi="Calibri" w:cs="Calibri"/>
          <w:lang w:val="en-AU"/>
        </w:rPr>
        <w:t>232 (Dixon J)</w:t>
      </w:r>
      <w:r w:rsidR="00A315DE">
        <w:rPr>
          <w:rFonts w:ascii="Calibri" w:hAnsi="Calibri" w:cs="Calibri"/>
          <w:lang w:val="en-AU"/>
        </w:rPr>
        <w:t xml:space="preserve">; </w:t>
      </w:r>
      <w:proofErr w:type="spellStart"/>
      <w:r w:rsidR="004425A8" w:rsidRPr="00126879">
        <w:rPr>
          <w:rFonts w:ascii="Calibri" w:hAnsi="Calibri" w:cs="Calibri"/>
          <w:i/>
          <w:iCs/>
          <w:lang w:val="en-AU"/>
        </w:rPr>
        <w:t>Tangentyere</w:t>
      </w:r>
      <w:proofErr w:type="spellEnd"/>
      <w:r w:rsidR="004425A8" w:rsidRPr="00126879">
        <w:rPr>
          <w:rFonts w:ascii="Calibri" w:hAnsi="Calibri" w:cs="Calibri"/>
          <w:i/>
          <w:iCs/>
          <w:lang w:val="en-AU"/>
        </w:rPr>
        <w:t xml:space="preserve"> Council Inc v Commissioner of Taxation</w:t>
      </w:r>
      <w:r w:rsidR="00126879">
        <w:rPr>
          <w:rFonts w:ascii="Calibri" w:hAnsi="Calibri" w:cs="Calibri"/>
          <w:lang w:val="en-AU"/>
        </w:rPr>
        <w:t xml:space="preserve"> (1990) 21 ATR 239, 242-243 (Angel J).</w:t>
      </w:r>
    </w:p>
  </w:footnote>
  <w:footnote w:id="59">
    <w:p w14:paraId="318F9F8B" w14:textId="63F09798" w:rsidR="009C10AA" w:rsidRPr="0056354E" w:rsidRDefault="009C10AA">
      <w:pPr>
        <w:pStyle w:val="FootnoteText"/>
        <w:rPr>
          <w:rFonts w:ascii="Calibri" w:hAnsi="Calibri" w:cs="Calibri"/>
          <w:lang w:val="en-AU"/>
        </w:rPr>
      </w:pPr>
      <w:r w:rsidRPr="0056354E">
        <w:rPr>
          <w:rStyle w:val="FootnoteReference"/>
          <w:rFonts w:ascii="Calibri" w:hAnsi="Calibri" w:cs="Calibri"/>
        </w:rPr>
        <w:footnoteRef/>
      </w:r>
      <w:r w:rsidRPr="0056354E">
        <w:rPr>
          <w:rFonts w:ascii="Calibri" w:hAnsi="Calibri" w:cs="Calibri"/>
        </w:rPr>
        <w:t xml:space="preserve"> </w:t>
      </w:r>
      <w:r w:rsidR="009110A8" w:rsidRPr="009110A8">
        <w:rPr>
          <w:rFonts w:ascii="Calibri" w:hAnsi="Calibri" w:cs="Calibri"/>
          <w:i/>
          <w:iCs/>
        </w:rPr>
        <w:t>Maughan v Federal Commissioner of Taxation</w:t>
      </w:r>
      <w:r w:rsidR="009110A8" w:rsidRPr="009110A8">
        <w:rPr>
          <w:rFonts w:ascii="Calibri" w:hAnsi="Calibri" w:cs="Calibri"/>
        </w:rPr>
        <w:t xml:space="preserve"> (1942) 66 CLR 388</w:t>
      </w:r>
      <w:r w:rsidR="009110A8">
        <w:rPr>
          <w:rFonts w:ascii="Calibri" w:hAnsi="Calibri" w:cs="Calibri"/>
        </w:rPr>
        <w:t>,</w:t>
      </w:r>
      <w:r w:rsidR="000B7426">
        <w:rPr>
          <w:rFonts w:ascii="Calibri" w:hAnsi="Calibri" w:cs="Calibri"/>
        </w:rPr>
        <w:t xml:space="preserve"> 397 (Williams J)</w:t>
      </w:r>
      <w:r w:rsidR="00463382">
        <w:rPr>
          <w:rFonts w:ascii="Calibri" w:hAnsi="Calibri" w:cs="Calibri"/>
        </w:rPr>
        <w:t>.</w:t>
      </w:r>
    </w:p>
  </w:footnote>
  <w:footnote w:id="60">
    <w:p w14:paraId="447C89C2" w14:textId="6BC7D70F" w:rsidR="00E62ECE" w:rsidRPr="00E62ECE" w:rsidRDefault="00E62ECE">
      <w:pPr>
        <w:pStyle w:val="FootnoteText"/>
        <w:rPr>
          <w:lang w:val="en-AU"/>
        </w:rPr>
      </w:pPr>
      <w:r w:rsidRPr="0056354E">
        <w:rPr>
          <w:rStyle w:val="FootnoteReference"/>
          <w:rFonts w:ascii="Calibri" w:hAnsi="Calibri" w:cs="Calibri"/>
        </w:rPr>
        <w:footnoteRef/>
      </w:r>
      <w:r w:rsidRPr="0056354E">
        <w:rPr>
          <w:rFonts w:ascii="Calibri" w:hAnsi="Calibri" w:cs="Calibri"/>
        </w:rPr>
        <w:t xml:space="preserve"> </w:t>
      </w:r>
      <w:r w:rsidR="00D57362" w:rsidRPr="008957A9">
        <w:rPr>
          <w:rFonts w:ascii="Calibri" w:hAnsi="Calibri" w:cs="Calibri"/>
          <w:i/>
          <w:iCs/>
        </w:rPr>
        <w:t>R</w:t>
      </w:r>
      <w:r w:rsidRPr="0056354E">
        <w:rPr>
          <w:rFonts w:ascii="Calibri" w:hAnsi="Calibri" w:cs="Calibri"/>
          <w:i/>
          <w:iCs/>
          <w:lang w:val="en-AU"/>
        </w:rPr>
        <w:t>e Income Tax Acts No. 1</w:t>
      </w:r>
      <w:r w:rsidRPr="0056354E">
        <w:rPr>
          <w:rFonts w:ascii="Calibri" w:hAnsi="Calibri" w:cs="Calibri"/>
          <w:lang w:val="en-AU"/>
        </w:rPr>
        <w:t xml:space="preserve"> [1930] VLR </w:t>
      </w:r>
      <w:r w:rsidR="004C7C35" w:rsidRPr="0056354E">
        <w:rPr>
          <w:rFonts w:ascii="Calibri" w:hAnsi="Calibri" w:cs="Calibri"/>
          <w:lang w:val="en-AU"/>
        </w:rPr>
        <w:t>211.</w:t>
      </w:r>
    </w:p>
  </w:footnote>
  <w:footnote w:id="61">
    <w:p w14:paraId="43A1D31C" w14:textId="2FE3C3FE" w:rsidR="00665C28" w:rsidRPr="00787B46" w:rsidRDefault="00665C28" w:rsidP="00665C28">
      <w:pPr>
        <w:pStyle w:val="FootnoteText"/>
        <w:rPr>
          <w:rFonts w:asciiTheme="minorHAnsi" w:hAnsiTheme="minorHAnsi" w:cstheme="minorHAnsi"/>
          <w:lang w:val="en-AU"/>
        </w:rPr>
      </w:pPr>
      <w:r w:rsidRPr="00787B46">
        <w:rPr>
          <w:rStyle w:val="FootnoteReference"/>
          <w:rFonts w:asciiTheme="minorHAnsi" w:hAnsiTheme="minorHAnsi" w:cstheme="minorHAnsi"/>
        </w:rPr>
        <w:footnoteRef/>
      </w:r>
      <w:r w:rsidRPr="00787B46">
        <w:rPr>
          <w:rFonts w:asciiTheme="minorHAnsi" w:hAnsiTheme="minorHAnsi" w:cstheme="minorHAnsi"/>
        </w:rPr>
        <w:t xml:space="preserve"> </w:t>
      </w:r>
      <w:r w:rsidRPr="00787B46">
        <w:rPr>
          <w:rFonts w:asciiTheme="minorHAnsi" w:hAnsiTheme="minorHAnsi" w:cstheme="minorHAnsi"/>
          <w:i/>
          <w:iCs/>
          <w:lang w:val="en-AU"/>
        </w:rPr>
        <w:t>Metropolitan Fire Brigades Board v Federal Commissioner of Taxation</w:t>
      </w:r>
      <w:r w:rsidRPr="00787B46">
        <w:rPr>
          <w:rFonts w:asciiTheme="minorHAnsi" w:hAnsiTheme="minorHAnsi" w:cstheme="minorHAnsi"/>
          <w:lang w:val="en-AU"/>
        </w:rPr>
        <w:t xml:space="preserve"> (1990) 27 FCR 279, 281; 282 (the Court)</w:t>
      </w:r>
      <w:r>
        <w:rPr>
          <w:rFonts w:asciiTheme="minorHAnsi" w:hAnsiTheme="minorHAnsi" w:cstheme="minorHAnsi"/>
          <w:lang w:val="en-AU"/>
        </w:rPr>
        <w:t xml:space="preserve">; </w:t>
      </w:r>
      <w:r w:rsidRPr="00000691">
        <w:rPr>
          <w:rFonts w:asciiTheme="minorHAnsi" w:hAnsiTheme="minorHAnsi" w:cstheme="minorHAnsi"/>
          <w:i/>
          <w:iCs/>
          <w:lang w:val="en-AU"/>
        </w:rPr>
        <w:t>Ambulance Service of New South Wales v Federal Commissioner of Taxation</w:t>
      </w:r>
      <w:r>
        <w:rPr>
          <w:rFonts w:asciiTheme="minorHAnsi" w:hAnsiTheme="minorHAnsi" w:cstheme="minorHAnsi"/>
          <w:lang w:val="en-AU"/>
        </w:rPr>
        <w:t xml:space="preserve"> (2003) 53 ATR 391, 405 [44] (the Court)</w:t>
      </w:r>
      <w:r w:rsidR="00B27F7D">
        <w:rPr>
          <w:rFonts w:asciiTheme="minorHAnsi" w:hAnsiTheme="minorHAnsi" w:cstheme="minorHAnsi"/>
          <w:lang w:val="en-AU"/>
        </w:rPr>
        <w:t xml:space="preserve">; </w:t>
      </w:r>
      <w:r w:rsidR="00B27F7D" w:rsidRPr="00B33E05">
        <w:rPr>
          <w:rFonts w:asciiTheme="minorHAnsi" w:hAnsiTheme="minorHAnsi" w:cstheme="minorHAnsi"/>
          <w:i/>
          <w:iCs/>
          <w:lang w:val="en-AU"/>
        </w:rPr>
        <w:t>Mines Rescue Board</w:t>
      </w:r>
      <w:r w:rsidR="00EA4ABE" w:rsidRPr="00B33E05">
        <w:rPr>
          <w:rFonts w:asciiTheme="minorHAnsi" w:hAnsiTheme="minorHAnsi" w:cstheme="minorHAnsi"/>
          <w:i/>
          <w:iCs/>
          <w:lang w:val="en-AU"/>
        </w:rPr>
        <w:t xml:space="preserve"> of New South Wales v Federal Commissioner of Taxation</w:t>
      </w:r>
      <w:r w:rsidR="00EA4ABE">
        <w:rPr>
          <w:rFonts w:asciiTheme="minorHAnsi" w:hAnsiTheme="minorHAnsi" w:cstheme="minorHAnsi"/>
          <w:lang w:val="en-AU"/>
        </w:rPr>
        <w:t xml:space="preserve"> </w:t>
      </w:r>
      <w:r w:rsidR="002116E0">
        <w:rPr>
          <w:rFonts w:asciiTheme="minorHAnsi" w:hAnsiTheme="minorHAnsi" w:cstheme="minorHAnsi"/>
          <w:lang w:val="en-AU"/>
        </w:rPr>
        <w:t>(</w:t>
      </w:r>
      <w:r w:rsidR="00EA4ABE">
        <w:rPr>
          <w:rFonts w:asciiTheme="minorHAnsi" w:hAnsiTheme="minorHAnsi" w:cstheme="minorHAnsi"/>
          <w:lang w:val="en-AU"/>
        </w:rPr>
        <w:t>2000</w:t>
      </w:r>
      <w:r w:rsidR="002116E0">
        <w:rPr>
          <w:rFonts w:asciiTheme="minorHAnsi" w:hAnsiTheme="minorHAnsi" w:cstheme="minorHAnsi"/>
          <w:lang w:val="en-AU"/>
        </w:rPr>
        <w:t>) 1</w:t>
      </w:r>
      <w:r w:rsidR="00F7325A">
        <w:rPr>
          <w:rFonts w:asciiTheme="minorHAnsi" w:hAnsiTheme="minorHAnsi" w:cstheme="minorHAnsi"/>
          <w:lang w:val="en-AU"/>
        </w:rPr>
        <w:t>01 FCR</w:t>
      </w:r>
      <w:r w:rsidR="00EA4ABE">
        <w:rPr>
          <w:rFonts w:asciiTheme="minorHAnsi" w:hAnsiTheme="minorHAnsi" w:cstheme="minorHAnsi"/>
          <w:lang w:val="en-AU"/>
        </w:rPr>
        <w:t xml:space="preserve"> </w:t>
      </w:r>
      <w:r w:rsidR="00F7325A">
        <w:rPr>
          <w:rFonts w:asciiTheme="minorHAnsi" w:hAnsiTheme="minorHAnsi" w:cstheme="minorHAnsi"/>
          <w:lang w:val="en-AU"/>
        </w:rPr>
        <w:t>91</w:t>
      </w:r>
      <w:r w:rsidR="002116E0">
        <w:rPr>
          <w:rFonts w:asciiTheme="minorHAnsi" w:hAnsiTheme="minorHAnsi" w:cstheme="minorHAnsi"/>
          <w:lang w:val="en-AU"/>
        </w:rPr>
        <w:t>,</w:t>
      </w:r>
      <w:r w:rsidR="00C9552A">
        <w:rPr>
          <w:rFonts w:asciiTheme="minorHAnsi" w:hAnsiTheme="minorHAnsi" w:cstheme="minorHAnsi"/>
          <w:lang w:val="en-AU"/>
        </w:rPr>
        <w:t xml:space="preserve"> 101-102</w:t>
      </w:r>
      <w:r w:rsidR="002116E0">
        <w:rPr>
          <w:rFonts w:asciiTheme="minorHAnsi" w:hAnsiTheme="minorHAnsi" w:cstheme="minorHAnsi"/>
          <w:lang w:val="en-AU"/>
        </w:rPr>
        <w:t xml:space="preserve"> (the Court)</w:t>
      </w:r>
      <w:r w:rsidRPr="00787B46">
        <w:rPr>
          <w:rFonts w:asciiTheme="minorHAnsi" w:hAnsiTheme="minorHAnsi" w:cstheme="minorHAnsi"/>
          <w:lang w:val="en-AU"/>
        </w:rPr>
        <w:t>.</w:t>
      </w:r>
    </w:p>
  </w:footnote>
  <w:footnote w:id="62">
    <w:p w14:paraId="322CBF9A" w14:textId="36469D03" w:rsidR="00665C28" w:rsidRPr="00787B46" w:rsidRDefault="00665C28" w:rsidP="00665C28">
      <w:pPr>
        <w:pStyle w:val="FootnoteText"/>
        <w:rPr>
          <w:rFonts w:asciiTheme="minorHAnsi" w:hAnsiTheme="minorHAnsi" w:cstheme="minorHAnsi"/>
          <w:lang w:val="en-AU"/>
        </w:rPr>
      </w:pPr>
      <w:r w:rsidRPr="00787B46">
        <w:rPr>
          <w:rStyle w:val="FootnoteReference"/>
          <w:rFonts w:asciiTheme="minorHAnsi" w:hAnsiTheme="minorHAnsi" w:cstheme="minorHAnsi"/>
        </w:rPr>
        <w:footnoteRef/>
      </w:r>
      <w:r w:rsidRPr="00787B46">
        <w:rPr>
          <w:rFonts w:asciiTheme="minorHAnsi" w:hAnsiTheme="minorHAnsi" w:cstheme="minorHAnsi"/>
        </w:rPr>
        <w:t xml:space="preserve"> </w:t>
      </w:r>
      <w:r w:rsidRPr="00787B46">
        <w:rPr>
          <w:rFonts w:asciiTheme="minorHAnsi" w:hAnsiTheme="minorHAnsi" w:cstheme="minorHAnsi"/>
          <w:i/>
          <w:iCs/>
          <w:lang w:val="en-AU"/>
        </w:rPr>
        <w:t>Charities Act 2013</w:t>
      </w:r>
      <w:r w:rsidRPr="00787B46">
        <w:rPr>
          <w:rFonts w:asciiTheme="minorHAnsi" w:hAnsiTheme="minorHAnsi" w:cstheme="minorHAnsi"/>
          <w:lang w:val="en-AU"/>
        </w:rPr>
        <w:t xml:space="preserve"> (</w:t>
      </w:r>
      <w:proofErr w:type="spellStart"/>
      <w:r w:rsidRPr="00787B46">
        <w:rPr>
          <w:rFonts w:asciiTheme="minorHAnsi" w:hAnsiTheme="minorHAnsi" w:cstheme="minorHAnsi"/>
          <w:lang w:val="en-AU"/>
        </w:rPr>
        <w:t>Cth</w:t>
      </w:r>
      <w:proofErr w:type="spellEnd"/>
      <w:r w:rsidRPr="00787B46">
        <w:rPr>
          <w:rFonts w:asciiTheme="minorHAnsi" w:hAnsiTheme="minorHAnsi" w:cstheme="minorHAnsi"/>
          <w:lang w:val="en-AU"/>
        </w:rPr>
        <w:t>) s 5, paragraph (d) of the definition of ‘charity’.</w:t>
      </w:r>
      <w:r w:rsidR="00DE09DB">
        <w:rPr>
          <w:rFonts w:asciiTheme="minorHAnsi" w:hAnsiTheme="minorHAnsi" w:cstheme="minorHAnsi"/>
          <w:lang w:val="en-AU"/>
        </w:rPr>
        <w:t xml:space="preserve"> See also </w:t>
      </w:r>
      <w:r w:rsidR="009004B8">
        <w:rPr>
          <w:rFonts w:asciiTheme="minorHAnsi" w:hAnsiTheme="minorHAnsi" w:cstheme="minorHAnsi"/>
          <w:lang w:val="en-AU"/>
        </w:rPr>
        <w:t>‘</w:t>
      </w:r>
      <w:r w:rsidR="00DE09DB">
        <w:rPr>
          <w:rFonts w:asciiTheme="minorHAnsi" w:hAnsiTheme="minorHAnsi" w:cstheme="minorHAnsi"/>
          <w:lang w:val="en-AU"/>
        </w:rPr>
        <w:t xml:space="preserve">CIS </w:t>
      </w:r>
      <w:r w:rsidR="00326DFB">
        <w:rPr>
          <w:rFonts w:asciiTheme="minorHAnsi" w:hAnsiTheme="minorHAnsi" w:cstheme="minorHAnsi"/>
          <w:lang w:val="en-AU"/>
        </w:rPr>
        <w:t>2016</w:t>
      </w:r>
      <w:r w:rsidR="00E73FC4">
        <w:rPr>
          <w:rFonts w:asciiTheme="minorHAnsi" w:hAnsiTheme="minorHAnsi" w:cstheme="minorHAnsi"/>
          <w:lang w:val="en-AU"/>
        </w:rPr>
        <w:t xml:space="preserve">/01 </w:t>
      </w:r>
      <w:hyperlink r:id="rId1" w:history="1">
        <w:r w:rsidR="00E73FC4" w:rsidRPr="00CE0B07">
          <w:rPr>
            <w:rStyle w:val="Hyperlink"/>
            <w:rFonts w:asciiTheme="minorHAnsi" w:hAnsiTheme="minorHAnsi" w:cstheme="minorHAnsi"/>
            <w:lang w:val="en-AU"/>
          </w:rPr>
          <w:t xml:space="preserve">Commissioner’s Interpretation Statement: Meaning of </w:t>
        </w:r>
        <w:r w:rsidR="00660D20" w:rsidRPr="00CE0B07">
          <w:rPr>
            <w:rStyle w:val="Hyperlink"/>
            <w:rFonts w:asciiTheme="minorHAnsi" w:hAnsiTheme="minorHAnsi" w:cstheme="minorHAnsi"/>
            <w:lang w:val="en-AU"/>
          </w:rPr>
          <w:t>”</w:t>
        </w:r>
        <w:r w:rsidR="00E73FC4" w:rsidRPr="00CE0B07">
          <w:rPr>
            <w:rStyle w:val="Hyperlink"/>
            <w:rFonts w:asciiTheme="minorHAnsi" w:hAnsiTheme="minorHAnsi" w:cstheme="minorHAnsi"/>
            <w:lang w:val="en-AU"/>
          </w:rPr>
          <w:t>Government Entity</w:t>
        </w:r>
      </w:hyperlink>
      <w:r w:rsidR="00660D20">
        <w:rPr>
          <w:rFonts w:asciiTheme="minorHAnsi" w:hAnsiTheme="minorHAnsi" w:cstheme="minorHAnsi"/>
          <w:lang w:val="en-AU"/>
        </w:rPr>
        <w:t>”</w:t>
      </w:r>
      <w:r w:rsidR="00E73FC4">
        <w:rPr>
          <w:rFonts w:asciiTheme="minorHAnsi" w:hAnsiTheme="minorHAnsi" w:cstheme="minorHAnsi"/>
          <w:lang w:val="en-AU"/>
        </w:rPr>
        <w:t>’</w:t>
      </w:r>
      <w:r w:rsidR="00CE0B07">
        <w:rPr>
          <w:rFonts w:asciiTheme="minorHAnsi" w:hAnsiTheme="minorHAnsi" w:cstheme="minorHAnsi"/>
          <w:lang w:val="en-AU"/>
        </w:rPr>
        <w:t>.</w:t>
      </w:r>
      <w:r w:rsidR="00E73FC4">
        <w:rPr>
          <w:rFonts w:asciiTheme="minorHAnsi" w:hAnsiTheme="minorHAnsi" w:cstheme="minorHAnsi"/>
          <w:lang w:val="en-AU"/>
        </w:rPr>
        <w:t xml:space="preserve"> </w:t>
      </w:r>
    </w:p>
  </w:footnote>
  <w:footnote w:id="63">
    <w:p w14:paraId="2264C63F" w14:textId="12611B9F" w:rsidR="006423DA" w:rsidRPr="00A13567" w:rsidRDefault="006423DA" w:rsidP="006423DA">
      <w:pPr>
        <w:pStyle w:val="FootnoteText"/>
        <w:rPr>
          <w:rFonts w:ascii="Calibri" w:hAnsi="Calibri" w:cs="Calibri"/>
          <w:lang w:val="en-AU"/>
        </w:rPr>
      </w:pPr>
      <w:r w:rsidRPr="00A13567">
        <w:rPr>
          <w:rStyle w:val="FootnoteReference"/>
          <w:rFonts w:ascii="Calibri" w:hAnsi="Calibri" w:cs="Calibri"/>
        </w:rPr>
        <w:footnoteRef/>
      </w:r>
      <w:r w:rsidRPr="00A13567">
        <w:rPr>
          <w:rFonts w:ascii="Calibri" w:hAnsi="Calibri" w:cs="Calibri"/>
        </w:rPr>
        <w:t xml:space="preserve"> </w:t>
      </w:r>
      <w:r w:rsidRPr="00A13567">
        <w:rPr>
          <w:rFonts w:ascii="Calibri" w:hAnsi="Calibri" w:cs="Calibri"/>
          <w:i/>
          <w:iCs/>
        </w:rPr>
        <w:t>Mayor of Manchester v McAdam</w:t>
      </w:r>
      <w:r w:rsidRPr="00A13567">
        <w:rPr>
          <w:rFonts w:ascii="Calibri" w:hAnsi="Calibri" w:cs="Calibri"/>
        </w:rPr>
        <w:t xml:space="preserve"> [1896] AC 500, 511 (</w:t>
      </w:r>
      <w:proofErr w:type="spellStart"/>
      <w:r w:rsidRPr="00A13567">
        <w:rPr>
          <w:rFonts w:ascii="Calibri" w:hAnsi="Calibri" w:cs="Calibri"/>
        </w:rPr>
        <w:t>McNaghten</w:t>
      </w:r>
      <w:proofErr w:type="spellEnd"/>
      <w:r w:rsidRPr="00A13567">
        <w:rPr>
          <w:rFonts w:ascii="Calibri" w:hAnsi="Calibri" w:cs="Calibri"/>
        </w:rPr>
        <w:t xml:space="preserve"> LJ).</w:t>
      </w:r>
    </w:p>
  </w:footnote>
  <w:footnote w:id="64">
    <w:p w14:paraId="0F1610A4" w14:textId="77777777" w:rsidR="006423DA" w:rsidRPr="00A13567" w:rsidRDefault="006423DA" w:rsidP="006423DA">
      <w:pPr>
        <w:pStyle w:val="FootnoteText"/>
        <w:rPr>
          <w:rFonts w:ascii="Calibri" w:hAnsi="Calibri" w:cs="Calibri"/>
          <w:lang w:val="en-AU"/>
        </w:rPr>
      </w:pPr>
      <w:r w:rsidRPr="00A13567">
        <w:rPr>
          <w:rStyle w:val="FootnoteReference"/>
          <w:rFonts w:ascii="Calibri" w:hAnsi="Calibri" w:cs="Calibri"/>
        </w:rPr>
        <w:footnoteRef/>
      </w:r>
      <w:r w:rsidRPr="00A13567">
        <w:rPr>
          <w:rFonts w:ascii="Calibri" w:hAnsi="Calibri" w:cs="Calibri"/>
        </w:rPr>
        <w:t xml:space="preserve"> </w:t>
      </w:r>
      <w:r w:rsidRPr="00A13567">
        <w:rPr>
          <w:rFonts w:ascii="Calibri" w:hAnsi="Calibri" w:cs="Calibri"/>
          <w:i/>
          <w:iCs/>
        </w:rPr>
        <w:t xml:space="preserve">Study and Prevention of Psychological Diseases Foundation and Federal Commissioner of Taxation </w:t>
      </w:r>
      <w:r w:rsidRPr="00A13567">
        <w:rPr>
          <w:rFonts w:ascii="Calibri" w:hAnsi="Calibri" w:cs="Calibri"/>
        </w:rPr>
        <w:t>[2013] AATA 119, [77] (Molloy DP),</w:t>
      </w:r>
      <w:r w:rsidRPr="00A13567">
        <w:rPr>
          <w:rFonts w:ascii="Calibri" w:hAnsi="Calibri" w:cs="Calibri"/>
          <w:i/>
          <w:iCs/>
        </w:rPr>
        <w:t xml:space="preserve"> </w:t>
      </w:r>
      <w:r w:rsidRPr="00A13567">
        <w:rPr>
          <w:rFonts w:ascii="Calibri" w:hAnsi="Calibri" w:cs="Calibri"/>
        </w:rPr>
        <w:t>q</w:t>
      </w:r>
      <w:proofErr w:type="spellStart"/>
      <w:r w:rsidRPr="00A13567">
        <w:rPr>
          <w:rFonts w:ascii="Calibri" w:hAnsi="Calibri" w:cs="Calibri"/>
          <w:lang w:val="en-AU"/>
        </w:rPr>
        <w:t>uoting</w:t>
      </w:r>
      <w:proofErr w:type="spellEnd"/>
      <w:r w:rsidRPr="00A13567">
        <w:rPr>
          <w:rFonts w:ascii="Calibri" w:hAnsi="Calibri" w:cs="Calibri"/>
          <w:lang w:val="en-AU"/>
        </w:rPr>
        <w:t xml:space="preserve"> </w:t>
      </w:r>
      <w:r w:rsidRPr="00A13567">
        <w:rPr>
          <w:rFonts w:ascii="Calibri" w:hAnsi="Calibri" w:cs="Calibri"/>
          <w:i/>
          <w:iCs/>
          <w:lang w:val="en-AU"/>
        </w:rPr>
        <w:t xml:space="preserve">Stratton v Simpson </w:t>
      </w:r>
      <w:r w:rsidRPr="00A13567">
        <w:rPr>
          <w:rFonts w:ascii="Calibri" w:hAnsi="Calibri" w:cs="Calibri"/>
          <w:lang w:val="en-AU"/>
        </w:rPr>
        <w:t>[1970] 125 CLR 138, 158 (Gibbs J).</w:t>
      </w:r>
    </w:p>
  </w:footnote>
  <w:footnote w:id="65">
    <w:p w14:paraId="4F45E774" w14:textId="3694E85D" w:rsidR="00CB4A23" w:rsidRPr="009C64E9" w:rsidRDefault="00CB4A23">
      <w:pPr>
        <w:pStyle w:val="FootnoteText"/>
        <w:rPr>
          <w:rFonts w:asciiTheme="minorHAnsi" w:hAnsiTheme="minorHAnsi" w:cstheme="minorHAnsi"/>
          <w:lang w:val="en-AU"/>
        </w:rPr>
      </w:pPr>
      <w:r w:rsidRPr="009C64E9">
        <w:rPr>
          <w:rStyle w:val="FootnoteReference"/>
          <w:rFonts w:asciiTheme="minorHAnsi" w:hAnsiTheme="minorHAnsi" w:cstheme="minorHAnsi"/>
        </w:rPr>
        <w:footnoteRef/>
      </w:r>
      <w:r w:rsidRPr="009C64E9">
        <w:rPr>
          <w:rFonts w:asciiTheme="minorHAnsi" w:hAnsiTheme="minorHAnsi" w:cstheme="minorHAnsi"/>
        </w:rPr>
        <w:t xml:space="preserve"> </w:t>
      </w:r>
      <w:proofErr w:type="spellStart"/>
      <w:r w:rsidRPr="009C64E9">
        <w:rPr>
          <w:rFonts w:asciiTheme="minorHAnsi" w:hAnsiTheme="minorHAnsi" w:cstheme="minorHAnsi"/>
          <w:i/>
          <w:iCs/>
        </w:rPr>
        <w:t>Sargents</w:t>
      </w:r>
      <w:proofErr w:type="spellEnd"/>
      <w:r w:rsidRPr="009C64E9">
        <w:rPr>
          <w:rFonts w:asciiTheme="minorHAnsi" w:hAnsiTheme="minorHAnsi" w:cstheme="minorHAnsi"/>
          <w:i/>
          <w:iCs/>
        </w:rPr>
        <w:t xml:space="preserve"> Charitable Foundation Ltd v Commissioner of State Revenue</w:t>
      </w:r>
      <w:r w:rsidRPr="009C64E9">
        <w:rPr>
          <w:rFonts w:asciiTheme="minorHAnsi" w:hAnsiTheme="minorHAnsi" w:cstheme="minorHAnsi"/>
        </w:rPr>
        <w:t xml:space="preserve"> [2005] NSWSC 659, [25] (</w:t>
      </w:r>
      <w:proofErr w:type="spellStart"/>
      <w:r w:rsidRPr="009C64E9">
        <w:rPr>
          <w:rFonts w:asciiTheme="minorHAnsi" w:hAnsiTheme="minorHAnsi" w:cstheme="minorHAnsi"/>
        </w:rPr>
        <w:t>Gzell</w:t>
      </w:r>
      <w:proofErr w:type="spellEnd"/>
      <w:r w:rsidRPr="009C64E9">
        <w:rPr>
          <w:rFonts w:asciiTheme="minorHAnsi" w:hAnsiTheme="minorHAnsi" w:cstheme="minorHAnsi"/>
        </w:rPr>
        <w:t xml:space="preserve"> J).</w:t>
      </w:r>
    </w:p>
  </w:footnote>
  <w:footnote w:id="66">
    <w:p w14:paraId="5C892E6E" w14:textId="243F78F9" w:rsidR="006423DA" w:rsidRPr="004B5B8D" w:rsidRDefault="006423DA" w:rsidP="006423DA">
      <w:pPr>
        <w:pStyle w:val="FootnoteText"/>
        <w:rPr>
          <w:rFonts w:asciiTheme="minorHAnsi" w:hAnsiTheme="minorHAnsi" w:cstheme="minorHAnsi"/>
          <w:lang w:val="en-AU"/>
        </w:rPr>
      </w:pPr>
      <w:r w:rsidRPr="004B5B8D">
        <w:rPr>
          <w:rStyle w:val="FootnoteReference"/>
          <w:rFonts w:asciiTheme="minorHAnsi" w:hAnsiTheme="minorHAnsi" w:cstheme="minorHAnsi"/>
        </w:rPr>
        <w:footnoteRef/>
      </w:r>
      <w:r w:rsidRPr="004B5B8D">
        <w:rPr>
          <w:rFonts w:asciiTheme="minorHAnsi" w:hAnsiTheme="minorHAnsi" w:cstheme="minorHAnsi"/>
        </w:rPr>
        <w:t xml:space="preserve"> See, for example, </w:t>
      </w:r>
      <w:r w:rsidRPr="004B5B8D">
        <w:rPr>
          <w:rFonts w:asciiTheme="minorHAnsi" w:hAnsiTheme="minorHAnsi" w:cstheme="minorHAnsi"/>
          <w:i/>
          <w:iCs/>
        </w:rPr>
        <w:t>Commissioner of Land Tax v Joyce</w:t>
      </w:r>
      <w:r w:rsidRPr="004B5B8D">
        <w:rPr>
          <w:rFonts w:asciiTheme="minorHAnsi" w:hAnsiTheme="minorHAnsi" w:cstheme="minorHAnsi"/>
        </w:rPr>
        <w:t xml:space="preserve"> (1974) 132 CLR 22, 31-32 (Stephen J; Gibbs J and Mason J concurring)</w:t>
      </w:r>
      <w:r w:rsidR="00E2318E" w:rsidRPr="004B5B8D">
        <w:rPr>
          <w:rFonts w:asciiTheme="minorHAnsi" w:hAnsiTheme="minorHAnsi" w:cstheme="minorHAnsi"/>
        </w:rPr>
        <w:t xml:space="preserve">; </w:t>
      </w:r>
      <w:r w:rsidR="006F42E3" w:rsidRPr="004B5B8D">
        <w:rPr>
          <w:rFonts w:asciiTheme="minorHAnsi" w:hAnsiTheme="minorHAnsi" w:cstheme="minorHAnsi"/>
          <w:i/>
          <w:iCs/>
        </w:rPr>
        <w:t>The Hunger Project Australia v Federal Commissioner of Taxation</w:t>
      </w:r>
      <w:r w:rsidR="006F42E3" w:rsidRPr="004B5B8D">
        <w:rPr>
          <w:rFonts w:asciiTheme="minorHAnsi" w:hAnsiTheme="minorHAnsi" w:cstheme="minorHAnsi"/>
        </w:rPr>
        <w:t xml:space="preserve"> </w:t>
      </w:r>
      <w:r w:rsidR="00223402" w:rsidRPr="004B5B8D">
        <w:rPr>
          <w:rFonts w:asciiTheme="minorHAnsi" w:hAnsiTheme="minorHAnsi" w:cstheme="minorHAnsi"/>
        </w:rPr>
        <w:t xml:space="preserve">[2013] FCA 693, </w:t>
      </w:r>
      <w:r w:rsidR="00261A1A" w:rsidRPr="004B5B8D">
        <w:rPr>
          <w:rFonts w:asciiTheme="minorHAnsi" w:hAnsiTheme="minorHAnsi" w:cstheme="minorHAnsi"/>
        </w:rPr>
        <w:t>[112] (</w:t>
      </w:r>
      <w:proofErr w:type="spellStart"/>
      <w:r w:rsidR="00261A1A" w:rsidRPr="004B5B8D">
        <w:rPr>
          <w:rFonts w:asciiTheme="minorHAnsi" w:hAnsiTheme="minorHAnsi" w:cstheme="minorHAnsi"/>
        </w:rPr>
        <w:t>Perram</w:t>
      </w:r>
      <w:proofErr w:type="spellEnd"/>
      <w:r w:rsidR="00261A1A" w:rsidRPr="004B5B8D">
        <w:rPr>
          <w:rFonts w:asciiTheme="minorHAnsi" w:hAnsiTheme="minorHAnsi" w:cstheme="minorHAnsi"/>
        </w:rPr>
        <w:t xml:space="preserve"> J)</w:t>
      </w:r>
      <w:r w:rsidRPr="004B5B8D">
        <w:rPr>
          <w:rFonts w:asciiTheme="minorHAnsi" w:hAnsiTheme="minorHAnsi" w:cstheme="minorHAnsi"/>
        </w:rPr>
        <w:t>.</w:t>
      </w:r>
    </w:p>
  </w:footnote>
  <w:footnote w:id="67">
    <w:p w14:paraId="15C71D69" w14:textId="77777777" w:rsidR="006423DA" w:rsidRPr="004B5B8D" w:rsidRDefault="006423DA" w:rsidP="006423DA">
      <w:pPr>
        <w:pStyle w:val="FootnoteText"/>
        <w:rPr>
          <w:rFonts w:asciiTheme="minorHAnsi" w:hAnsiTheme="minorHAnsi" w:cstheme="minorHAnsi"/>
          <w:lang w:val="en-AU"/>
        </w:rPr>
      </w:pPr>
      <w:r w:rsidRPr="004B5B8D">
        <w:rPr>
          <w:rStyle w:val="FootnoteReference"/>
          <w:rFonts w:asciiTheme="minorHAnsi" w:hAnsiTheme="minorHAnsi" w:cstheme="minorHAnsi"/>
        </w:rPr>
        <w:footnoteRef/>
      </w:r>
      <w:r w:rsidRPr="004B5B8D">
        <w:rPr>
          <w:rFonts w:asciiTheme="minorHAnsi" w:hAnsiTheme="minorHAnsi" w:cstheme="minorHAnsi"/>
        </w:rPr>
        <w:t xml:space="preserve"> </w:t>
      </w:r>
      <w:r w:rsidRPr="004B5B8D">
        <w:rPr>
          <w:rFonts w:asciiTheme="minorHAnsi" w:hAnsiTheme="minorHAnsi" w:cstheme="minorHAnsi"/>
          <w:i/>
          <w:iCs/>
        </w:rPr>
        <w:t xml:space="preserve">Commissioner of Land Tax v Joyce </w:t>
      </w:r>
      <w:r w:rsidRPr="004B5B8D">
        <w:rPr>
          <w:rFonts w:asciiTheme="minorHAnsi" w:hAnsiTheme="minorHAnsi" w:cstheme="minorHAnsi"/>
        </w:rPr>
        <w:t>(1974) 132 CLR 22, 32 (Stephen J; Gibbs J and Mason J concurring).</w:t>
      </w:r>
    </w:p>
  </w:footnote>
  <w:footnote w:id="68">
    <w:p w14:paraId="4D99E526" w14:textId="4681E791" w:rsidR="00985781" w:rsidRPr="004B5B8D" w:rsidRDefault="00985781">
      <w:pPr>
        <w:pStyle w:val="FootnoteText"/>
        <w:rPr>
          <w:rFonts w:asciiTheme="minorHAnsi" w:hAnsiTheme="minorHAnsi" w:cstheme="minorHAnsi"/>
          <w:lang w:val="en-AU"/>
        </w:rPr>
      </w:pPr>
      <w:r w:rsidRPr="004B5B8D">
        <w:rPr>
          <w:rStyle w:val="FootnoteReference"/>
          <w:rFonts w:asciiTheme="minorHAnsi" w:hAnsiTheme="minorHAnsi" w:cstheme="minorHAnsi"/>
        </w:rPr>
        <w:footnoteRef/>
      </w:r>
      <w:r w:rsidRPr="004B5B8D">
        <w:rPr>
          <w:rFonts w:asciiTheme="minorHAnsi" w:hAnsiTheme="minorHAnsi" w:cstheme="minorHAnsi"/>
        </w:rPr>
        <w:t xml:space="preserve"> </w:t>
      </w:r>
      <w:r w:rsidR="00191520" w:rsidRPr="004B5B8D">
        <w:rPr>
          <w:rFonts w:asciiTheme="minorHAnsi" w:hAnsiTheme="minorHAnsi" w:cstheme="minorHAnsi"/>
          <w:i/>
          <w:iCs/>
        </w:rPr>
        <w:t>Trustees of the Indigenous Barristers’ Trust v Federal Commissioner of Taxation</w:t>
      </w:r>
      <w:r w:rsidR="00191520" w:rsidRPr="004B5B8D">
        <w:rPr>
          <w:rFonts w:asciiTheme="minorHAnsi" w:hAnsiTheme="minorHAnsi" w:cstheme="minorHAnsi"/>
        </w:rPr>
        <w:t xml:space="preserve"> </w:t>
      </w:r>
      <w:r w:rsidR="008B0E77" w:rsidRPr="004B5B8D">
        <w:rPr>
          <w:rFonts w:asciiTheme="minorHAnsi" w:hAnsiTheme="minorHAnsi" w:cstheme="minorHAnsi"/>
        </w:rPr>
        <w:t>(2002) 127 FCR 63</w:t>
      </w:r>
      <w:r w:rsidR="00A46208" w:rsidRPr="004B5B8D">
        <w:rPr>
          <w:rFonts w:asciiTheme="minorHAnsi" w:hAnsiTheme="minorHAnsi" w:cstheme="minorHAnsi"/>
        </w:rPr>
        <w:t xml:space="preserve">, 80-87 </w:t>
      </w:r>
      <w:proofErr w:type="spellStart"/>
      <w:r w:rsidR="00A46208" w:rsidRPr="004B5B8D">
        <w:rPr>
          <w:rFonts w:asciiTheme="minorHAnsi" w:hAnsiTheme="minorHAnsi" w:cstheme="minorHAnsi"/>
        </w:rPr>
        <w:t>Gyles</w:t>
      </w:r>
      <w:proofErr w:type="spellEnd"/>
      <w:r w:rsidR="00A46208" w:rsidRPr="004B5B8D">
        <w:rPr>
          <w:rFonts w:asciiTheme="minorHAnsi" w:hAnsiTheme="minorHAnsi" w:cstheme="minorHAnsi"/>
        </w:rPr>
        <w:t xml:space="preserve"> J)</w:t>
      </w:r>
      <w:r w:rsidR="00191520" w:rsidRPr="004B5B8D">
        <w:rPr>
          <w:rFonts w:asciiTheme="minorHAnsi" w:hAnsiTheme="minorHAnsi" w:cstheme="minorHAnsi"/>
        </w:rPr>
        <w:t>.</w:t>
      </w:r>
    </w:p>
  </w:footnote>
  <w:footnote w:id="69">
    <w:p w14:paraId="12C00AC2" w14:textId="1CA3C6C0" w:rsidR="006423DA" w:rsidRPr="004B5B8D" w:rsidRDefault="006423DA" w:rsidP="006423DA">
      <w:pPr>
        <w:pStyle w:val="FootnoteText"/>
        <w:rPr>
          <w:rFonts w:asciiTheme="minorHAnsi" w:hAnsiTheme="minorHAnsi" w:cstheme="minorHAnsi"/>
          <w:lang w:val="en-AU"/>
        </w:rPr>
      </w:pPr>
      <w:r w:rsidRPr="004B5B8D">
        <w:rPr>
          <w:rStyle w:val="FootnoteReference"/>
          <w:rFonts w:asciiTheme="minorHAnsi" w:hAnsiTheme="minorHAnsi" w:cstheme="minorHAnsi"/>
        </w:rPr>
        <w:footnoteRef/>
      </w:r>
      <w:r w:rsidRPr="004B5B8D">
        <w:rPr>
          <w:rFonts w:asciiTheme="minorHAnsi" w:hAnsiTheme="minorHAnsi" w:cstheme="minorHAnsi"/>
        </w:rPr>
        <w:t xml:space="preserve"> </w:t>
      </w:r>
      <w:r w:rsidRPr="004B5B8D">
        <w:rPr>
          <w:rFonts w:asciiTheme="minorHAnsi" w:hAnsiTheme="minorHAnsi" w:cstheme="minorHAnsi"/>
          <w:i/>
          <w:iCs/>
        </w:rPr>
        <w:t>Study and Prevention of Psychological Diseases Foundation and Federal Commissioner of Taxation</w:t>
      </w:r>
      <w:r w:rsidRPr="004B5B8D">
        <w:rPr>
          <w:rFonts w:asciiTheme="minorHAnsi" w:hAnsiTheme="minorHAnsi" w:cstheme="minorHAnsi"/>
        </w:rPr>
        <w:t xml:space="preserve"> [2013] AATA 119, [76] (Molloy DP</w:t>
      </w:r>
      <w:r w:rsidRPr="004B5B8D">
        <w:rPr>
          <w:rFonts w:asciiTheme="minorHAnsi" w:hAnsiTheme="minorHAnsi" w:cstheme="minorHAnsi"/>
          <w:i/>
          <w:iCs/>
        </w:rPr>
        <w:t>)</w:t>
      </w:r>
      <w:r w:rsidR="005678AB" w:rsidRPr="004B5B8D">
        <w:rPr>
          <w:rFonts w:asciiTheme="minorHAnsi" w:hAnsiTheme="minorHAnsi" w:cstheme="minorHAnsi"/>
          <w:i/>
          <w:iCs/>
        </w:rPr>
        <w:t xml:space="preserve">; </w:t>
      </w:r>
      <w:proofErr w:type="spellStart"/>
      <w:r w:rsidR="005678AB" w:rsidRPr="004B5B8D">
        <w:rPr>
          <w:rFonts w:asciiTheme="minorHAnsi" w:hAnsiTheme="minorHAnsi" w:cstheme="minorHAnsi"/>
          <w:i/>
          <w:iCs/>
        </w:rPr>
        <w:t>Sargents</w:t>
      </w:r>
      <w:proofErr w:type="spellEnd"/>
      <w:r w:rsidR="005678AB" w:rsidRPr="004B5B8D">
        <w:rPr>
          <w:rFonts w:asciiTheme="minorHAnsi" w:hAnsiTheme="minorHAnsi" w:cstheme="minorHAnsi"/>
          <w:i/>
          <w:iCs/>
        </w:rPr>
        <w:t xml:space="preserve"> Charitable Foundation</w:t>
      </w:r>
      <w:r w:rsidR="00C61932" w:rsidRPr="004B5B8D">
        <w:rPr>
          <w:rFonts w:asciiTheme="minorHAnsi" w:hAnsiTheme="minorHAnsi" w:cstheme="minorHAnsi"/>
          <w:i/>
          <w:iCs/>
        </w:rPr>
        <w:t xml:space="preserve"> Ltd v Chief Commissioner of State Revenue</w:t>
      </w:r>
      <w:r w:rsidR="00C61932" w:rsidRPr="004B5B8D">
        <w:rPr>
          <w:rFonts w:asciiTheme="minorHAnsi" w:hAnsiTheme="minorHAnsi" w:cstheme="minorHAnsi"/>
        </w:rPr>
        <w:t xml:space="preserve"> (NSW) (2005) 60 ATR 129, </w:t>
      </w:r>
      <w:r w:rsidR="009555CC" w:rsidRPr="004B5B8D">
        <w:rPr>
          <w:rFonts w:asciiTheme="minorHAnsi" w:hAnsiTheme="minorHAnsi" w:cstheme="minorHAnsi"/>
        </w:rPr>
        <w:t>133 [23]-[25] (</w:t>
      </w:r>
      <w:proofErr w:type="spellStart"/>
      <w:r w:rsidR="00540D25" w:rsidRPr="004B5B8D">
        <w:rPr>
          <w:rFonts w:asciiTheme="minorHAnsi" w:hAnsiTheme="minorHAnsi" w:cstheme="minorHAnsi"/>
        </w:rPr>
        <w:t>Gzell</w:t>
      </w:r>
      <w:proofErr w:type="spellEnd"/>
      <w:r w:rsidR="00540D25" w:rsidRPr="004B5B8D">
        <w:rPr>
          <w:rFonts w:asciiTheme="minorHAnsi" w:hAnsiTheme="minorHAnsi" w:cstheme="minorHAnsi"/>
        </w:rPr>
        <w:t xml:space="preserve"> J)</w:t>
      </w:r>
      <w:r w:rsidR="0056354E" w:rsidRPr="004B5B8D">
        <w:rPr>
          <w:rFonts w:asciiTheme="minorHAnsi" w:hAnsiTheme="minorHAnsi" w:cstheme="minorHAnsi"/>
        </w:rPr>
        <w:t>.</w:t>
      </w:r>
    </w:p>
  </w:footnote>
  <w:footnote w:id="70">
    <w:p w14:paraId="6C695E22" w14:textId="77777777" w:rsidR="006423DA" w:rsidRPr="00A13567" w:rsidRDefault="006423DA" w:rsidP="006423DA">
      <w:pPr>
        <w:pStyle w:val="FootnoteText"/>
        <w:rPr>
          <w:rFonts w:ascii="Calibri" w:hAnsi="Calibri" w:cs="Calibri"/>
          <w:lang w:val="en-AU"/>
        </w:rPr>
      </w:pPr>
      <w:r w:rsidRPr="004B5B8D">
        <w:rPr>
          <w:rStyle w:val="FootnoteReference"/>
          <w:rFonts w:asciiTheme="minorHAnsi" w:hAnsiTheme="minorHAnsi" w:cstheme="minorHAnsi"/>
        </w:rPr>
        <w:footnoteRef/>
      </w:r>
      <w:r w:rsidRPr="004B5B8D">
        <w:rPr>
          <w:rFonts w:asciiTheme="minorHAnsi" w:hAnsiTheme="minorHAnsi" w:cstheme="minorHAnsi"/>
        </w:rPr>
        <w:t xml:space="preserve"> </w:t>
      </w:r>
      <w:r w:rsidRPr="004B5B8D">
        <w:rPr>
          <w:rFonts w:asciiTheme="minorHAnsi" w:hAnsiTheme="minorHAnsi" w:cstheme="minorHAnsi"/>
          <w:i/>
          <w:iCs/>
          <w:lang w:val="en-AU"/>
        </w:rPr>
        <w:t>Trustees of the Allport Bequest v Federal Commissioner of Taxation</w:t>
      </w:r>
      <w:r w:rsidRPr="004B5B8D">
        <w:rPr>
          <w:rFonts w:asciiTheme="minorHAnsi" w:hAnsiTheme="minorHAnsi" w:cstheme="minorHAnsi"/>
          <w:lang w:val="en-AU"/>
        </w:rPr>
        <w:t xml:space="preserve"> (1988) 19 ATR 1335, 1341 (Northrop J).</w:t>
      </w:r>
    </w:p>
  </w:footnote>
  <w:footnote w:id="71">
    <w:p w14:paraId="2B37C82F" w14:textId="3F0FCD98" w:rsidR="009F7EB1" w:rsidRPr="00430EA3" w:rsidRDefault="009F7EB1" w:rsidP="009F7EB1">
      <w:pPr>
        <w:pStyle w:val="FootnoteText"/>
        <w:rPr>
          <w:rFonts w:ascii="Calibri" w:hAnsi="Calibri" w:cs="Calibri"/>
        </w:rPr>
      </w:pPr>
      <w:r w:rsidRPr="00430EA3">
        <w:rPr>
          <w:rStyle w:val="FootnoteReference"/>
          <w:rFonts w:ascii="Calibri" w:hAnsi="Calibri" w:cs="Calibri"/>
        </w:rPr>
        <w:footnoteRef/>
      </w:r>
      <w:r w:rsidRPr="00430EA3">
        <w:rPr>
          <w:rFonts w:ascii="Calibri" w:hAnsi="Calibri" w:cs="Calibri"/>
        </w:rPr>
        <w:t xml:space="preserve"> </w:t>
      </w:r>
      <w:r w:rsidRPr="00430EA3">
        <w:rPr>
          <w:rFonts w:ascii="Calibri" w:hAnsi="Calibri" w:cs="Calibri"/>
          <w:i/>
        </w:rPr>
        <w:t>Commissioner of Taxation v Hunger Project Australia</w:t>
      </w:r>
      <w:r w:rsidRPr="00430EA3">
        <w:rPr>
          <w:rFonts w:ascii="Calibri" w:hAnsi="Calibri" w:cs="Calibri"/>
        </w:rPr>
        <w:t xml:space="preserve"> [2014] FCAFC 69, [38]</w:t>
      </w:r>
      <w:r w:rsidR="003509EA">
        <w:rPr>
          <w:rFonts w:ascii="Calibri" w:hAnsi="Calibri" w:cs="Calibri"/>
        </w:rPr>
        <w:t xml:space="preserve"> (the Court)</w:t>
      </w:r>
      <w:r w:rsidRPr="00430EA3">
        <w:rPr>
          <w:rFonts w:ascii="Calibri" w:hAnsi="Calibri" w:cs="Calibri"/>
        </w:rPr>
        <w:t>.</w:t>
      </w:r>
    </w:p>
  </w:footnote>
  <w:footnote w:id="72">
    <w:p w14:paraId="1607789C" w14:textId="1FF59107" w:rsidR="009F7EB1" w:rsidRPr="00430EA3" w:rsidRDefault="009F7EB1" w:rsidP="009F7EB1">
      <w:pPr>
        <w:pStyle w:val="FootnoteText"/>
        <w:rPr>
          <w:rFonts w:ascii="Calibri" w:hAnsi="Calibri" w:cs="Calibri"/>
        </w:rPr>
      </w:pPr>
      <w:r w:rsidRPr="00430EA3">
        <w:rPr>
          <w:rStyle w:val="FootnoteReference"/>
          <w:rFonts w:ascii="Calibri" w:hAnsi="Calibri" w:cs="Calibri"/>
        </w:rPr>
        <w:footnoteRef/>
      </w:r>
      <w:r w:rsidRPr="00430EA3">
        <w:rPr>
          <w:rFonts w:ascii="Calibri" w:hAnsi="Calibri" w:cs="Calibri"/>
        </w:rPr>
        <w:t xml:space="preserve"> </w:t>
      </w:r>
      <w:r w:rsidR="00430EA3" w:rsidRPr="004B5B8D">
        <w:rPr>
          <w:rFonts w:ascii="Calibri" w:hAnsi="Calibri" w:cs="Calibri"/>
          <w:i/>
          <w:iCs/>
        </w:rPr>
        <w:t>Commissioner of Taxation v Hunger Project Australia</w:t>
      </w:r>
      <w:r w:rsidRPr="00430EA3">
        <w:rPr>
          <w:rFonts w:ascii="Calibri" w:hAnsi="Calibri" w:cs="Calibri"/>
        </w:rPr>
        <w:t xml:space="preserve"> </w:t>
      </w:r>
      <w:r w:rsidR="00E87592" w:rsidRPr="00E87592">
        <w:rPr>
          <w:rFonts w:ascii="Calibri" w:hAnsi="Calibri" w:cs="Calibri"/>
        </w:rPr>
        <w:t>[2014] FCAFC 69</w:t>
      </w:r>
      <w:r w:rsidR="00E87592">
        <w:rPr>
          <w:rFonts w:ascii="Calibri" w:hAnsi="Calibri" w:cs="Calibri"/>
        </w:rPr>
        <w:t>,</w:t>
      </w:r>
      <w:r w:rsidR="00E87592" w:rsidRPr="00E87592">
        <w:rPr>
          <w:rFonts w:ascii="Calibri" w:hAnsi="Calibri" w:cs="Calibri"/>
        </w:rPr>
        <w:t xml:space="preserve"> </w:t>
      </w:r>
      <w:r w:rsidRPr="00430EA3">
        <w:rPr>
          <w:rFonts w:ascii="Calibri" w:hAnsi="Calibri" w:cs="Calibri"/>
        </w:rPr>
        <w:t>[63]</w:t>
      </w:r>
      <w:proofErr w:type="gramStart"/>
      <w:r w:rsidRPr="00430EA3">
        <w:rPr>
          <w:rFonts w:ascii="Calibri" w:hAnsi="Calibri" w:cs="Calibri"/>
        </w:rPr>
        <w:t>–[</w:t>
      </w:r>
      <w:proofErr w:type="gramEnd"/>
      <w:r w:rsidRPr="00430EA3">
        <w:rPr>
          <w:rFonts w:ascii="Calibri" w:hAnsi="Calibri" w:cs="Calibri"/>
        </w:rPr>
        <w:t>64]</w:t>
      </w:r>
      <w:r w:rsidR="003509EA">
        <w:rPr>
          <w:rFonts w:ascii="Calibri" w:hAnsi="Calibri" w:cs="Calibri"/>
        </w:rPr>
        <w:t xml:space="preserve"> (the Court)</w:t>
      </w:r>
      <w:r w:rsidRPr="00430EA3">
        <w:rPr>
          <w:rFonts w:ascii="Calibri" w:hAnsi="Calibri" w:cs="Calibri"/>
        </w:rPr>
        <w:t xml:space="preserve"> regarding the reasoning of the majority of the High Court of Australia in </w:t>
      </w:r>
      <w:r w:rsidRPr="00430EA3">
        <w:rPr>
          <w:rFonts w:ascii="Calibri" w:hAnsi="Calibri" w:cs="Calibri"/>
          <w:i/>
        </w:rPr>
        <w:t xml:space="preserve">Federal Commissioner of Taxation v Word </w:t>
      </w:r>
      <w:r w:rsidRPr="00430EA3">
        <w:rPr>
          <w:rStyle w:val="c11"/>
          <w:rFonts w:ascii="Calibri" w:hAnsi="Calibri" w:cs="Calibri"/>
          <w:i/>
        </w:rPr>
        <w:t>Investments</w:t>
      </w:r>
      <w:r w:rsidRPr="00430EA3">
        <w:rPr>
          <w:rStyle w:val="c2"/>
          <w:rFonts w:ascii="Calibri" w:hAnsi="Calibri" w:cs="Calibri"/>
        </w:rPr>
        <w:t xml:space="preserve"> (2008) 236 CLR 204</w:t>
      </w:r>
      <w:r w:rsidRPr="00430EA3">
        <w:rPr>
          <w:rFonts w:ascii="Calibri" w:hAnsi="Calibri" w:cs="Calibri"/>
        </w:rPr>
        <w:t>.</w:t>
      </w:r>
    </w:p>
  </w:footnote>
  <w:footnote w:id="73">
    <w:p w14:paraId="37AAC1BA" w14:textId="77777777" w:rsidR="009F7EB1" w:rsidRPr="00430EA3" w:rsidRDefault="009F7EB1" w:rsidP="009F7EB1">
      <w:pPr>
        <w:pStyle w:val="FootnoteText"/>
        <w:rPr>
          <w:rFonts w:ascii="Calibri" w:hAnsi="Calibri" w:cs="Calibri"/>
        </w:rPr>
      </w:pPr>
      <w:r w:rsidRPr="00430EA3">
        <w:rPr>
          <w:rStyle w:val="FootnoteReference"/>
          <w:rFonts w:ascii="Calibri" w:hAnsi="Calibri" w:cs="Calibri"/>
        </w:rPr>
        <w:footnoteRef/>
      </w:r>
      <w:r w:rsidRPr="00430EA3">
        <w:rPr>
          <w:rFonts w:ascii="Calibri" w:hAnsi="Calibri" w:cs="Calibri"/>
        </w:rPr>
        <w:t xml:space="preserve"> </w:t>
      </w:r>
      <w:r w:rsidRPr="00430EA3">
        <w:rPr>
          <w:rFonts w:ascii="Calibri" w:hAnsi="Calibri" w:cs="Calibri"/>
          <w:i/>
        </w:rPr>
        <w:t xml:space="preserve">Federal Commissioner of Taxation v Word </w:t>
      </w:r>
      <w:r w:rsidRPr="00430EA3">
        <w:rPr>
          <w:rStyle w:val="c11"/>
          <w:rFonts w:ascii="Calibri" w:hAnsi="Calibri" w:cs="Calibri"/>
          <w:i/>
        </w:rPr>
        <w:t>Investments</w:t>
      </w:r>
      <w:r w:rsidRPr="00430EA3">
        <w:rPr>
          <w:rStyle w:val="c2"/>
          <w:rFonts w:ascii="Calibri" w:hAnsi="Calibri" w:cs="Calibri"/>
        </w:rPr>
        <w:t xml:space="preserve"> (2008) 236 CLR 204</w:t>
      </w:r>
      <w:r w:rsidRPr="00430EA3">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F781" w14:textId="65104EE9" w:rsidR="00E400CA" w:rsidRDefault="00E76C5D">
    <w:pPr>
      <w:pStyle w:val="Header"/>
    </w:pPr>
    <w:r>
      <w:rPr>
        <w:noProof/>
      </w:rPr>
      <w:pict w14:anchorId="3087C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38860" o:spid="_x0000_s1027" type="#_x0000_t136" style="position:absolute;margin-left:0;margin-top:0;width:545.2pt;height:125.8pt;rotation:315;z-index:-251651584;mso-position-horizontal:center;mso-position-horizontal-relative:margin;mso-position-vertical:center;mso-position-vertical-relative:margin" o:allowincell="f" fillcolor="#e7e6e6 [3214]" stroked="f">
          <v:fill opacity=".5"/>
          <v:textpath style="font-family:&quot;Calibri&quot;;font-size:1pt" string="Exposure draft"/>
          <w10:wrap anchorx="margin" anchory="margin"/>
        </v:shape>
      </w:pict>
    </w:r>
    <w:r w:rsidR="006423DA">
      <w:rPr>
        <w:noProof/>
      </w:rPr>
      <mc:AlternateContent>
        <mc:Choice Requires="wps">
          <w:drawing>
            <wp:anchor distT="0" distB="0" distL="0" distR="0" simplePos="0" relativeHeight="251655680" behindDoc="0" locked="0" layoutInCell="1" allowOverlap="1" wp14:anchorId="124E3AAD" wp14:editId="7B06F9AA">
              <wp:simplePos x="635" y="635"/>
              <wp:positionH relativeFrom="column">
                <wp:align>center</wp:align>
              </wp:positionH>
              <wp:positionV relativeFrom="paragraph">
                <wp:posOffset>635</wp:posOffset>
              </wp:positionV>
              <wp:extent cx="443865" cy="443865"/>
              <wp:effectExtent l="0" t="0" r="5080" b="16510"/>
              <wp:wrapSquare wrapText="bothSides"/>
              <wp:docPr id="2"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F03FDB" w14:textId="24CE79DF" w:rsidR="006423DA" w:rsidRPr="006423DA" w:rsidRDefault="006423DA">
                          <w:pPr>
                            <w:rPr>
                              <w:rFonts w:ascii="Calibri" w:eastAsia="Calibri" w:hAnsi="Calibri" w:cs="Calibri"/>
                              <w:color w:val="FF0000"/>
                              <w:sz w:val="20"/>
                            </w:rPr>
                          </w:pPr>
                          <w:r w:rsidRPr="006423DA">
                            <w:rPr>
                              <w:rFonts w:ascii="Calibri" w:eastAsia="Calibri" w:hAnsi="Calibri" w:cs="Calibri"/>
                              <w:color w:val="FF0000"/>
                              <w:sz w:val="20"/>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4E3AAD" id="_x0000_t202" coordsize="21600,21600" o:spt="202" path="m,l,21600r21600,l21600,xe">
              <v:stroke joinstyle="miter"/>
              <v:path gradientshapeok="t" o:connecttype="rect"/>
            </v:shapetype>
            <v:shape id="Text Box 2" o:spid="_x0000_s1026" type="#_x0000_t202" alt="OFFICIAL Sensitive" style="position:absolute;margin-left:0;margin-top:.05pt;width:34.95pt;height:34.95pt;z-index:251655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DF03FDB" w14:textId="24CE79DF" w:rsidR="006423DA" w:rsidRPr="006423DA" w:rsidRDefault="006423DA">
                    <w:pPr>
                      <w:rPr>
                        <w:rFonts w:ascii="Calibri" w:eastAsia="Calibri" w:hAnsi="Calibri" w:cs="Calibri"/>
                        <w:color w:val="FF0000"/>
                        <w:sz w:val="20"/>
                      </w:rPr>
                    </w:pPr>
                    <w:r w:rsidRPr="006423DA">
                      <w:rPr>
                        <w:rFonts w:ascii="Calibri" w:eastAsia="Calibri" w:hAnsi="Calibri" w:cs="Calibri"/>
                        <w:color w:val="FF0000"/>
                        <w:sz w:val="20"/>
                      </w:rPr>
                      <w:t>OFFICIAL 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15C4A" w14:textId="02360CF8" w:rsidR="00433109" w:rsidRDefault="00E76C5D">
    <w:pPr>
      <w:pStyle w:val="Header"/>
    </w:pPr>
    <w:r>
      <w:rPr>
        <w:noProof/>
      </w:rPr>
      <w:pict w14:anchorId="73183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38861" o:spid="_x0000_s1028" type="#_x0000_t136" style="position:absolute;margin-left:0;margin-top:0;width:545.2pt;height:125.8pt;rotation:315;z-index:-251649536;mso-position-horizontal:center;mso-position-horizontal-relative:margin;mso-position-vertical:center;mso-position-vertical-relative:margin" o:allowincell="f" fillcolor="#e7e6e6 [3214]" stroked="f">
          <v:fill opacity=".5"/>
          <v:textpath style="font-family:&quot;Calibri&quot;;font-size:1pt" string="Exposure draft"/>
          <w10:wrap anchorx="margin" anchory="margin"/>
        </v:shape>
      </w:pict>
    </w:r>
    <w:r w:rsidR="006423DA">
      <w:rPr>
        <w:noProof/>
        <w:lang w:val="en-US" w:eastAsia="en-US"/>
      </w:rPr>
      <mc:AlternateContent>
        <mc:Choice Requires="wps">
          <w:drawing>
            <wp:anchor distT="0" distB="0" distL="0" distR="0" simplePos="0" relativeHeight="251656704" behindDoc="0" locked="0" layoutInCell="1" allowOverlap="1" wp14:anchorId="1BF41809" wp14:editId="17C75DD9">
              <wp:simplePos x="720725" y="432435"/>
              <wp:positionH relativeFrom="column">
                <wp:align>center</wp:align>
              </wp:positionH>
              <wp:positionV relativeFrom="paragraph">
                <wp:posOffset>635</wp:posOffset>
              </wp:positionV>
              <wp:extent cx="443865" cy="443865"/>
              <wp:effectExtent l="0" t="0" r="5080" b="16510"/>
              <wp:wrapSquare wrapText="bothSides"/>
              <wp:docPr id="3"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E66B03" w14:textId="7C8F9AA3" w:rsidR="006423DA" w:rsidRPr="006423DA" w:rsidRDefault="006423DA">
                          <w:pPr>
                            <w:rPr>
                              <w:rFonts w:ascii="Calibri" w:eastAsia="Calibri" w:hAnsi="Calibri" w:cs="Calibri"/>
                              <w:color w:val="FF0000"/>
                              <w:sz w:val="20"/>
                            </w:rPr>
                          </w:pPr>
                          <w:r w:rsidRPr="006423DA">
                            <w:rPr>
                              <w:rFonts w:ascii="Calibri" w:eastAsia="Calibri" w:hAnsi="Calibri" w:cs="Calibri"/>
                              <w:color w:val="FF0000"/>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F41809" id="_x0000_t202" coordsize="21600,21600" o:spt="202" path="m,l,21600r21600,l21600,xe">
              <v:stroke joinstyle="miter"/>
              <v:path gradientshapeok="t" o:connecttype="rect"/>
            </v:shapetype>
            <v:shape id="Text Box 3" o:spid="_x0000_s1027" type="#_x0000_t202" alt="OFFICIAL Sensitive" style="position:absolute;margin-left:0;margin-top:.05pt;width:34.95pt;height:34.95pt;z-index:2516567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4E66B03" w14:textId="7C8F9AA3" w:rsidR="006423DA" w:rsidRPr="006423DA" w:rsidRDefault="006423DA">
                    <w:pPr>
                      <w:rPr>
                        <w:rFonts w:ascii="Calibri" w:eastAsia="Calibri" w:hAnsi="Calibri" w:cs="Calibri"/>
                        <w:color w:val="FF0000"/>
                        <w:sz w:val="20"/>
                      </w:rPr>
                    </w:pPr>
                    <w:r w:rsidRPr="006423DA">
                      <w:rPr>
                        <w:rFonts w:ascii="Calibri" w:eastAsia="Calibri" w:hAnsi="Calibri" w:cs="Calibri"/>
                        <w:color w:val="FF0000"/>
                        <w:sz w:val="20"/>
                      </w:rPr>
                      <w:t>OFFICIAL</w:t>
                    </w:r>
                  </w:p>
                </w:txbxContent>
              </v:textbox>
              <w10:wrap type="square"/>
            </v:shape>
          </w:pict>
        </mc:Fallback>
      </mc:AlternateContent>
    </w:r>
    <w:r w:rsidR="000126ED">
      <w:rPr>
        <w:noProof/>
        <w:lang w:val="en-US" w:eastAsia="en-US"/>
      </w:rPr>
      <w:drawing>
        <wp:anchor distT="0" distB="0" distL="114300" distR="114300" simplePos="0" relativeHeight="251653632" behindDoc="0" locked="0" layoutInCell="1" allowOverlap="1" wp14:anchorId="63834EDA" wp14:editId="3F74F45C">
          <wp:simplePos x="0" y="0"/>
          <wp:positionH relativeFrom="margin">
            <wp:posOffset>4575810</wp:posOffset>
          </wp:positionH>
          <wp:positionV relativeFrom="margin">
            <wp:posOffset>-1367790</wp:posOffset>
          </wp:positionV>
          <wp:extent cx="1247775" cy="1230630"/>
          <wp:effectExtent l="0" t="0" r="9525" b="7620"/>
          <wp:wrapSquare wrapText="bothSides"/>
          <wp:docPr id="34" name="Picture 34" descr="follower_graphic_200dp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llower_graphic_200dpi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1230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E179" w14:textId="67A50440" w:rsidR="00433109" w:rsidRDefault="00E76C5D" w:rsidP="009B1DAA">
    <w:pPr>
      <w:pStyle w:val="Header"/>
    </w:pPr>
    <w:r>
      <w:rPr>
        <w:noProof/>
      </w:rPr>
      <w:pict w14:anchorId="57FED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38859" o:spid="_x0000_s1026" type="#_x0000_t136" style="position:absolute;margin-left:0;margin-top:0;width:545.2pt;height:125.8pt;rotation:315;z-index:-251653632;mso-position-horizontal:center;mso-position-horizontal-relative:margin;mso-position-vertical:center;mso-position-vertical-relative:margin" o:allowincell="f" fillcolor="#e7e6e6 [3214]" stroked="f">
          <v:fill opacity=".5"/>
          <v:textpath style="font-family:&quot;Calibri&quot;;font-size:1pt" string="Exposure draft"/>
          <w10:wrap anchorx="margin" anchory="margin"/>
        </v:shape>
      </w:pict>
    </w:r>
    <w:r w:rsidR="006423DA">
      <w:rPr>
        <w:noProof/>
        <w:lang w:val="en-US" w:eastAsia="en-US"/>
      </w:rPr>
      <mc:AlternateContent>
        <mc:Choice Requires="wps">
          <w:drawing>
            <wp:anchor distT="0" distB="0" distL="0" distR="0" simplePos="0" relativeHeight="251654656" behindDoc="0" locked="0" layoutInCell="1" allowOverlap="1" wp14:anchorId="6623E1E8" wp14:editId="606BDC5D">
              <wp:simplePos x="723900" y="428625"/>
              <wp:positionH relativeFrom="column">
                <wp:align>center</wp:align>
              </wp:positionH>
              <wp:positionV relativeFrom="paragraph">
                <wp:posOffset>635</wp:posOffset>
              </wp:positionV>
              <wp:extent cx="443865" cy="443865"/>
              <wp:effectExtent l="0" t="0" r="5080" b="16510"/>
              <wp:wrapSquare wrapText="bothSides"/>
              <wp:docPr id="1"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E97CA0" w14:textId="3DAE79AF" w:rsidR="006423DA" w:rsidRPr="006423DA" w:rsidRDefault="006423DA">
                          <w:pPr>
                            <w:rPr>
                              <w:rFonts w:ascii="Calibri" w:eastAsia="Calibri" w:hAnsi="Calibri" w:cs="Calibri"/>
                              <w:color w:val="FF0000"/>
                              <w:sz w:val="20"/>
                            </w:rPr>
                          </w:pPr>
                          <w:r w:rsidRPr="006423DA">
                            <w:rPr>
                              <w:rFonts w:ascii="Calibri" w:eastAsia="Calibri" w:hAnsi="Calibri" w:cs="Calibri"/>
                              <w:color w:val="FF0000"/>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23E1E8" id="_x0000_t202" coordsize="21600,21600" o:spt="202" path="m,l,21600r21600,l21600,xe">
              <v:stroke joinstyle="miter"/>
              <v:path gradientshapeok="t" o:connecttype="rect"/>
            </v:shapetype>
            <v:shape id="Text Box 1" o:spid="_x0000_s1030" type="#_x0000_t202" alt="OFFICIAL Sensitive" style="position:absolute;margin-left:0;margin-top:.05pt;width:34.95pt;height:34.95pt;z-index:2516546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BE97CA0" w14:textId="3DAE79AF" w:rsidR="006423DA" w:rsidRPr="006423DA" w:rsidRDefault="006423DA">
                    <w:pPr>
                      <w:rPr>
                        <w:rFonts w:ascii="Calibri" w:eastAsia="Calibri" w:hAnsi="Calibri" w:cs="Calibri"/>
                        <w:color w:val="FF0000"/>
                        <w:sz w:val="20"/>
                      </w:rPr>
                    </w:pPr>
                    <w:r w:rsidRPr="006423DA">
                      <w:rPr>
                        <w:rFonts w:ascii="Calibri" w:eastAsia="Calibri" w:hAnsi="Calibri" w:cs="Calibri"/>
                        <w:color w:val="FF0000"/>
                        <w:sz w:val="20"/>
                      </w:rPr>
                      <w:t>OFFICIAL</w:t>
                    </w:r>
                  </w:p>
                </w:txbxContent>
              </v:textbox>
              <w10:wrap type="square"/>
            </v:shape>
          </w:pict>
        </mc:Fallback>
      </mc:AlternateContent>
    </w:r>
    <w:r w:rsidR="000126ED">
      <w:rPr>
        <w:noProof/>
        <w:lang w:val="en-US" w:eastAsia="en-US"/>
      </w:rPr>
      <w:drawing>
        <wp:anchor distT="0" distB="648335" distL="114300" distR="114300" simplePos="0" relativeHeight="251660800" behindDoc="0" locked="0" layoutInCell="1" allowOverlap="1" wp14:anchorId="159198C3" wp14:editId="0D9E309B">
          <wp:simplePos x="0" y="0"/>
          <wp:positionH relativeFrom="margin">
            <wp:align>center</wp:align>
          </wp:positionH>
          <wp:positionV relativeFrom="margin">
            <wp:posOffset>-914400</wp:posOffset>
          </wp:positionV>
          <wp:extent cx="6586855" cy="1435735"/>
          <wp:effectExtent l="0" t="0" r="0" b="12065"/>
          <wp:wrapTight wrapText="bothSides">
            <wp:wrapPolygon edited="0">
              <wp:start x="0" y="0"/>
              <wp:lineTo x="0" y="21399"/>
              <wp:lineTo x="21490" y="21399"/>
              <wp:lineTo x="21490" y="0"/>
              <wp:lineTo x="0" y="0"/>
            </wp:wrapPolygon>
          </wp:wrapTight>
          <wp:docPr id="35" name="Picture 35" descr="header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er_2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6855" cy="143573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FF9"/>
    <w:multiLevelType w:val="multilevel"/>
    <w:tmpl w:val="37064D70"/>
    <w:lvl w:ilvl="0">
      <w:start w:val="1"/>
      <w:numFmt w:val="decimal"/>
      <w:lvlText w:val="%1."/>
      <w:lvlJc w:val="left"/>
      <w:pPr>
        <w:ind w:left="720" w:hanging="360"/>
      </w:p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83E5291"/>
    <w:multiLevelType w:val="hybridMultilevel"/>
    <w:tmpl w:val="6F16384A"/>
    <w:lvl w:ilvl="0" w:tplc="496E806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F5646A"/>
    <w:multiLevelType w:val="hybridMultilevel"/>
    <w:tmpl w:val="0464D880"/>
    <w:lvl w:ilvl="0" w:tplc="679C519A">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530F09"/>
    <w:multiLevelType w:val="hybridMultilevel"/>
    <w:tmpl w:val="32FC5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9211DB"/>
    <w:multiLevelType w:val="multilevel"/>
    <w:tmpl w:val="1DB643B8"/>
    <w:lvl w:ilvl="0">
      <w:start w:val="1"/>
      <w:numFmt w:val="decimal"/>
      <w:lvlText w:val="%1."/>
      <w:lvlJc w:val="left"/>
      <w:pPr>
        <w:ind w:left="360" w:hanging="360"/>
      </w:pPr>
    </w:lvl>
    <w:lvl w:ilvl="1">
      <w:start w:val="1"/>
      <w:numFmt w:val="decimal"/>
      <w:lvlText w:val="%1.%2."/>
      <w:lvlJc w:val="left"/>
      <w:pPr>
        <w:ind w:left="312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5A7CCC"/>
    <w:multiLevelType w:val="hybridMultilevel"/>
    <w:tmpl w:val="4394D606"/>
    <w:lvl w:ilvl="0" w:tplc="DB7CA38C">
      <w:start w:val="1"/>
      <w:numFmt w:val="decimal"/>
      <w:lvlText w:val="%1."/>
      <w:lvlJc w:val="left"/>
      <w:pPr>
        <w:ind w:left="930" w:hanging="570"/>
      </w:pPr>
      <w:rPr>
        <w:rFonts w:ascii="Calibri" w:hAnsi="Calibri" w:cs="Calibri" w:hint="default"/>
        <w:color w:val="auto"/>
        <w:sz w:val="22"/>
        <w:szCs w:val="22"/>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180"/>
      </w:pPr>
      <w:rPr>
        <w:rFonts w:ascii="Courier New" w:hAnsi="Courier New" w:cs="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56864C8"/>
    <w:multiLevelType w:val="hybridMultilevel"/>
    <w:tmpl w:val="E44830B4"/>
    <w:lvl w:ilvl="0" w:tplc="548C0206">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354392"/>
    <w:multiLevelType w:val="hybridMultilevel"/>
    <w:tmpl w:val="64767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425897"/>
    <w:multiLevelType w:val="hybridMultilevel"/>
    <w:tmpl w:val="CB425434"/>
    <w:lvl w:ilvl="0" w:tplc="0C090001">
      <w:start w:val="1"/>
      <w:numFmt w:val="bullet"/>
      <w:lvlText w:val=""/>
      <w:lvlJc w:val="left"/>
      <w:pPr>
        <w:ind w:left="1650" w:hanging="360"/>
      </w:pPr>
      <w:rPr>
        <w:rFonts w:ascii="Symbol" w:hAnsi="Symbol" w:hint="default"/>
      </w:rPr>
    </w:lvl>
    <w:lvl w:ilvl="1" w:tplc="0C090003" w:tentative="1">
      <w:start w:val="1"/>
      <w:numFmt w:val="bullet"/>
      <w:lvlText w:val="o"/>
      <w:lvlJc w:val="left"/>
      <w:pPr>
        <w:ind w:left="2370" w:hanging="360"/>
      </w:pPr>
      <w:rPr>
        <w:rFonts w:ascii="Courier New" w:hAnsi="Courier New" w:cs="Courier New" w:hint="default"/>
      </w:rPr>
    </w:lvl>
    <w:lvl w:ilvl="2" w:tplc="0C090005" w:tentative="1">
      <w:start w:val="1"/>
      <w:numFmt w:val="bullet"/>
      <w:lvlText w:val=""/>
      <w:lvlJc w:val="left"/>
      <w:pPr>
        <w:ind w:left="3090" w:hanging="360"/>
      </w:pPr>
      <w:rPr>
        <w:rFonts w:ascii="Wingdings" w:hAnsi="Wingdings" w:hint="default"/>
      </w:rPr>
    </w:lvl>
    <w:lvl w:ilvl="3" w:tplc="0C090001" w:tentative="1">
      <w:start w:val="1"/>
      <w:numFmt w:val="bullet"/>
      <w:lvlText w:val=""/>
      <w:lvlJc w:val="left"/>
      <w:pPr>
        <w:ind w:left="3810" w:hanging="360"/>
      </w:pPr>
      <w:rPr>
        <w:rFonts w:ascii="Symbol" w:hAnsi="Symbol" w:hint="default"/>
      </w:rPr>
    </w:lvl>
    <w:lvl w:ilvl="4" w:tplc="0C090003" w:tentative="1">
      <w:start w:val="1"/>
      <w:numFmt w:val="bullet"/>
      <w:lvlText w:val="o"/>
      <w:lvlJc w:val="left"/>
      <w:pPr>
        <w:ind w:left="4530" w:hanging="360"/>
      </w:pPr>
      <w:rPr>
        <w:rFonts w:ascii="Courier New" w:hAnsi="Courier New" w:cs="Courier New" w:hint="default"/>
      </w:rPr>
    </w:lvl>
    <w:lvl w:ilvl="5" w:tplc="0C090005" w:tentative="1">
      <w:start w:val="1"/>
      <w:numFmt w:val="bullet"/>
      <w:lvlText w:val=""/>
      <w:lvlJc w:val="left"/>
      <w:pPr>
        <w:ind w:left="5250" w:hanging="360"/>
      </w:pPr>
      <w:rPr>
        <w:rFonts w:ascii="Wingdings" w:hAnsi="Wingdings" w:hint="default"/>
      </w:rPr>
    </w:lvl>
    <w:lvl w:ilvl="6" w:tplc="0C090001" w:tentative="1">
      <w:start w:val="1"/>
      <w:numFmt w:val="bullet"/>
      <w:lvlText w:val=""/>
      <w:lvlJc w:val="left"/>
      <w:pPr>
        <w:ind w:left="5970" w:hanging="360"/>
      </w:pPr>
      <w:rPr>
        <w:rFonts w:ascii="Symbol" w:hAnsi="Symbol" w:hint="default"/>
      </w:rPr>
    </w:lvl>
    <w:lvl w:ilvl="7" w:tplc="0C090003" w:tentative="1">
      <w:start w:val="1"/>
      <w:numFmt w:val="bullet"/>
      <w:lvlText w:val="o"/>
      <w:lvlJc w:val="left"/>
      <w:pPr>
        <w:ind w:left="6690" w:hanging="360"/>
      </w:pPr>
      <w:rPr>
        <w:rFonts w:ascii="Courier New" w:hAnsi="Courier New" w:cs="Courier New" w:hint="default"/>
      </w:rPr>
    </w:lvl>
    <w:lvl w:ilvl="8" w:tplc="0C090005" w:tentative="1">
      <w:start w:val="1"/>
      <w:numFmt w:val="bullet"/>
      <w:lvlText w:val=""/>
      <w:lvlJc w:val="left"/>
      <w:pPr>
        <w:ind w:left="7410" w:hanging="360"/>
      </w:pPr>
      <w:rPr>
        <w:rFonts w:ascii="Wingdings" w:hAnsi="Wingdings" w:hint="default"/>
      </w:rPr>
    </w:lvl>
  </w:abstractNum>
  <w:abstractNum w:abstractNumId="9" w15:restartNumberingAfterBreak="0">
    <w:nsid w:val="66A23190"/>
    <w:multiLevelType w:val="hybridMultilevel"/>
    <w:tmpl w:val="DBCCA95A"/>
    <w:lvl w:ilvl="0" w:tplc="DB7CA38C">
      <w:start w:val="1"/>
      <w:numFmt w:val="decimal"/>
      <w:lvlText w:val="%1."/>
      <w:lvlJc w:val="left"/>
      <w:pPr>
        <w:ind w:left="930" w:hanging="570"/>
      </w:pPr>
      <w:rPr>
        <w:rFonts w:ascii="Calibri" w:hAnsi="Calibri" w:cs="Calibri" w:hint="default"/>
        <w:color w:val="auto"/>
        <w:sz w:val="22"/>
        <w:szCs w:val="22"/>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180"/>
      </w:pPr>
      <w:rPr>
        <w:rFonts w:ascii="Courier New" w:hAnsi="Courier New" w:cs="Courier New" w:hint="default"/>
      </w:rPr>
    </w:lvl>
    <w:lvl w:ilvl="3" w:tplc="708E675A">
      <w:start w:val="21"/>
      <w:numFmt w:val="bullet"/>
      <w:lvlText w:val="-"/>
      <w:lvlJc w:val="left"/>
      <w:pPr>
        <w:ind w:left="2880" w:hanging="360"/>
      </w:pPr>
      <w:rPr>
        <w:rFonts w:ascii="Times New Roman" w:eastAsia="Times New Roman" w:hAnsi="Times New Roman" w:cs="Times New Roman"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7241B20"/>
    <w:multiLevelType w:val="hybridMultilevel"/>
    <w:tmpl w:val="5E9E2AB2"/>
    <w:lvl w:ilvl="0" w:tplc="27CC21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BDE437E"/>
    <w:multiLevelType w:val="hybridMultilevel"/>
    <w:tmpl w:val="3A9CE7A8"/>
    <w:lvl w:ilvl="0" w:tplc="0C090001">
      <w:start w:val="1"/>
      <w:numFmt w:val="bullet"/>
      <w:lvlText w:val=""/>
      <w:lvlJc w:val="left"/>
      <w:pPr>
        <w:ind w:left="1650" w:hanging="360"/>
      </w:pPr>
      <w:rPr>
        <w:rFonts w:ascii="Symbol" w:hAnsi="Symbol" w:hint="default"/>
      </w:rPr>
    </w:lvl>
    <w:lvl w:ilvl="1" w:tplc="0C090003">
      <w:start w:val="1"/>
      <w:numFmt w:val="bullet"/>
      <w:lvlText w:val="o"/>
      <w:lvlJc w:val="left"/>
      <w:pPr>
        <w:ind w:left="2370" w:hanging="360"/>
      </w:pPr>
      <w:rPr>
        <w:rFonts w:ascii="Courier New" w:hAnsi="Courier New" w:cs="Courier New" w:hint="default"/>
      </w:rPr>
    </w:lvl>
    <w:lvl w:ilvl="2" w:tplc="0C090005" w:tentative="1">
      <w:start w:val="1"/>
      <w:numFmt w:val="bullet"/>
      <w:lvlText w:val=""/>
      <w:lvlJc w:val="left"/>
      <w:pPr>
        <w:ind w:left="3090" w:hanging="360"/>
      </w:pPr>
      <w:rPr>
        <w:rFonts w:ascii="Wingdings" w:hAnsi="Wingdings" w:hint="default"/>
      </w:rPr>
    </w:lvl>
    <w:lvl w:ilvl="3" w:tplc="0C090001" w:tentative="1">
      <w:start w:val="1"/>
      <w:numFmt w:val="bullet"/>
      <w:lvlText w:val=""/>
      <w:lvlJc w:val="left"/>
      <w:pPr>
        <w:ind w:left="3810" w:hanging="360"/>
      </w:pPr>
      <w:rPr>
        <w:rFonts w:ascii="Symbol" w:hAnsi="Symbol" w:hint="default"/>
      </w:rPr>
    </w:lvl>
    <w:lvl w:ilvl="4" w:tplc="0C090003" w:tentative="1">
      <w:start w:val="1"/>
      <w:numFmt w:val="bullet"/>
      <w:lvlText w:val="o"/>
      <w:lvlJc w:val="left"/>
      <w:pPr>
        <w:ind w:left="4530" w:hanging="360"/>
      </w:pPr>
      <w:rPr>
        <w:rFonts w:ascii="Courier New" w:hAnsi="Courier New" w:cs="Courier New" w:hint="default"/>
      </w:rPr>
    </w:lvl>
    <w:lvl w:ilvl="5" w:tplc="0C090005" w:tentative="1">
      <w:start w:val="1"/>
      <w:numFmt w:val="bullet"/>
      <w:lvlText w:val=""/>
      <w:lvlJc w:val="left"/>
      <w:pPr>
        <w:ind w:left="5250" w:hanging="360"/>
      </w:pPr>
      <w:rPr>
        <w:rFonts w:ascii="Wingdings" w:hAnsi="Wingdings" w:hint="default"/>
      </w:rPr>
    </w:lvl>
    <w:lvl w:ilvl="6" w:tplc="0C090001" w:tentative="1">
      <w:start w:val="1"/>
      <w:numFmt w:val="bullet"/>
      <w:lvlText w:val=""/>
      <w:lvlJc w:val="left"/>
      <w:pPr>
        <w:ind w:left="5970" w:hanging="360"/>
      </w:pPr>
      <w:rPr>
        <w:rFonts w:ascii="Symbol" w:hAnsi="Symbol" w:hint="default"/>
      </w:rPr>
    </w:lvl>
    <w:lvl w:ilvl="7" w:tplc="0C090003" w:tentative="1">
      <w:start w:val="1"/>
      <w:numFmt w:val="bullet"/>
      <w:lvlText w:val="o"/>
      <w:lvlJc w:val="left"/>
      <w:pPr>
        <w:ind w:left="6690" w:hanging="360"/>
      </w:pPr>
      <w:rPr>
        <w:rFonts w:ascii="Courier New" w:hAnsi="Courier New" w:cs="Courier New" w:hint="default"/>
      </w:rPr>
    </w:lvl>
    <w:lvl w:ilvl="8" w:tplc="0C090005" w:tentative="1">
      <w:start w:val="1"/>
      <w:numFmt w:val="bullet"/>
      <w:lvlText w:val=""/>
      <w:lvlJc w:val="left"/>
      <w:pPr>
        <w:ind w:left="7410" w:hanging="360"/>
      </w:pPr>
      <w:rPr>
        <w:rFonts w:ascii="Wingdings" w:hAnsi="Wingdings" w:hint="default"/>
      </w:rPr>
    </w:lvl>
  </w:abstractNum>
  <w:abstractNum w:abstractNumId="12" w15:restartNumberingAfterBreak="0">
    <w:nsid w:val="7E2B0706"/>
    <w:multiLevelType w:val="hybridMultilevel"/>
    <w:tmpl w:val="4394D606"/>
    <w:lvl w:ilvl="0" w:tplc="DB7CA38C">
      <w:start w:val="1"/>
      <w:numFmt w:val="decimal"/>
      <w:lvlText w:val="%1."/>
      <w:lvlJc w:val="left"/>
      <w:pPr>
        <w:ind w:left="930" w:hanging="570"/>
      </w:pPr>
      <w:rPr>
        <w:rFonts w:ascii="Calibri" w:hAnsi="Calibri" w:cs="Calibri" w:hint="default"/>
        <w:color w:val="auto"/>
        <w:sz w:val="22"/>
        <w:szCs w:val="22"/>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180"/>
      </w:pPr>
      <w:rPr>
        <w:rFonts w:ascii="Courier New" w:hAnsi="Courier New" w:cs="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8395842">
    <w:abstractNumId w:val="12"/>
  </w:num>
  <w:num w:numId="2" w16cid:durableId="677463358">
    <w:abstractNumId w:val="11"/>
  </w:num>
  <w:num w:numId="3" w16cid:durableId="631981271">
    <w:abstractNumId w:val="9"/>
  </w:num>
  <w:num w:numId="4" w16cid:durableId="2117868658">
    <w:abstractNumId w:val="4"/>
  </w:num>
  <w:num w:numId="5" w16cid:durableId="1270503142">
    <w:abstractNumId w:val="0"/>
  </w:num>
  <w:num w:numId="6" w16cid:durableId="1596092502">
    <w:abstractNumId w:val="1"/>
  </w:num>
  <w:num w:numId="7" w16cid:durableId="1904100473">
    <w:abstractNumId w:val="5"/>
  </w:num>
  <w:num w:numId="8" w16cid:durableId="1974557787">
    <w:abstractNumId w:val="8"/>
  </w:num>
  <w:num w:numId="9" w16cid:durableId="1588809790">
    <w:abstractNumId w:val="3"/>
  </w:num>
  <w:num w:numId="10" w16cid:durableId="1798256371">
    <w:abstractNumId w:val="7"/>
  </w:num>
  <w:num w:numId="11" w16cid:durableId="232660841">
    <w:abstractNumId w:val="6"/>
  </w:num>
  <w:num w:numId="12" w16cid:durableId="2103717040">
    <w:abstractNumId w:val="10"/>
  </w:num>
  <w:num w:numId="13" w16cid:durableId="12267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DA"/>
    <w:rsid w:val="00000691"/>
    <w:rsid w:val="000009F5"/>
    <w:rsid w:val="00000C46"/>
    <w:rsid w:val="00002296"/>
    <w:rsid w:val="00002A50"/>
    <w:rsid w:val="00005839"/>
    <w:rsid w:val="000058E1"/>
    <w:rsid w:val="00007875"/>
    <w:rsid w:val="00007D65"/>
    <w:rsid w:val="00007F4D"/>
    <w:rsid w:val="00010CD1"/>
    <w:rsid w:val="0001165A"/>
    <w:rsid w:val="00011A8A"/>
    <w:rsid w:val="000121C2"/>
    <w:rsid w:val="000126ED"/>
    <w:rsid w:val="00012910"/>
    <w:rsid w:val="0001715A"/>
    <w:rsid w:val="00017172"/>
    <w:rsid w:val="00017394"/>
    <w:rsid w:val="000220C6"/>
    <w:rsid w:val="0002331E"/>
    <w:rsid w:val="00024E1F"/>
    <w:rsid w:val="00030A03"/>
    <w:rsid w:val="00033B21"/>
    <w:rsid w:val="00036DBE"/>
    <w:rsid w:val="000371FF"/>
    <w:rsid w:val="0004040F"/>
    <w:rsid w:val="000410AA"/>
    <w:rsid w:val="00042502"/>
    <w:rsid w:val="00042FFB"/>
    <w:rsid w:val="00044856"/>
    <w:rsid w:val="00047740"/>
    <w:rsid w:val="000477AD"/>
    <w:rsid w:val="0004785B"/>
    <w:rsid w:val="00047C47"/>
    <w:rsid w:val="000504D9"/>
    <w:rsid w:val="00051680"/>
    <w:rsid w:val="000521B3"/>
    <w:rsid w:val="000527C9"/>
    <w:rsid w:val="00054765"/>
    <w:rsid w:val="000569ED"/>
    <w:rsid w:val="0006025A"/>
    <w:rsid w:val="0006039E"/>
    <w:rsid w:val="000649C4"/>
    <w:rsid w:val="0006539A"/>
    <w:rsid w:val="00073A58"/>
    <w:rsid w:val="00074858"/>
    <w:rsid w:val="00075149"/>
    <w:rsid w:val="00077509"/>
    <w:rsid w:val="00077823"/>
    <w:rsid w:val="000834D6"/>
    <w:rsid w:val="0008435D"/>
    <w:rsid w:val="00085172"/>
    <w:rsid w:val="0008555E"/>
    <w:rsid w:val="000867F1"/>
    <w:rsid w:val="00086CB1"/>
    <w:rsid w:val="00087046"/>
    <w:rsid w:val="00087764"/>
    <w:rsid w:val="0009164B"/>
    <w:rsid w:val="000952C6"/>
    <w:rsid w:val="00095ED6"/>
    <w:rsid w:val="00095F9E"/>
    <w:rsid w:val="00096B9D"/>
    <w:rsid w:val="000A018A"/>
    <w:rsid w:val="000A03CB"/>
    <w:rsid w:val="000A39A9"/>
    <w:rsid w:val="000A3A14"/>
    <w:rsid w:val="000A3F3D"/>
    <w:rsid w:val="000A5835"/>
    <w:rsid w:val="000A5BB1"/>
    <w:rsid w:val="000A5D5F"/>
    <w:rsid w:val="000A7A9F"/>
    <w:rsid w:val="000B00BE"/>
    <w:rsid w:val="000B03B4"/>
    <w:rsid w:val="000B0E80"/>
    <w:rsid w:val="000B18DD"/>
    <w:rsid w:val="000B319B"/>
    <w:rsid w:val="000B4059"/>
    <w:rsid w:val="000B43BA"/>
    <w:rsid w:val="000B5048"/>
    <w:rsid w:val="000B7426"/>
    <w:rsid w:val="000C05A2"/>
    <w:rsid w:val="000C0A4F"/>
    <w:rsid w:val="000C1025"/>
    <w:rsid w:val="000C1D9A"/>
    <w:rsid w:val="000C38BA"/>
    <w:rsid w:val="000C4D06"/>
    <w:rsid w:val="000C570E"/>
    <w:rsid w:val="000D0643"/>
    <w:rsid w:val="000D1805"/>
    <w:rsid w:val="000D2431"/>
    <w:rsid w:val="000D385F"/>
    <w:rsid w:val="000D3BD7"/>
    <w:rsid w:val="000D6B48"/>
    <w:rsid w:val="000D7CE9"/>
    <w:rsid w:val="000E0165"/>
    <w:rsid w:val="000E1AEF"/>
    <w:rsid w:val="000E5E7A"/>
    <w:rsid w:val="000E6646"/>
    <w:rsid w:val="000F04A4"/>
    <w:rsid w:val="000F1E40"/>
    <w:rsid w:val="000F5654"/>
    <w:rsid w:val="000F6D9A"/>
    <w:rsid w:val="000F7824"/>
    <w:rsid w:val="0010000C"/>
    <w:rsid w:val="00103220"/>
    <w:rsid w:val="00104BD6"/>
    <w:rsid w:val="00105E46"/>
    <w:rsid w:val="00107576"/>
    <w:rsid w:val="00107D42"/>
    <w:rsid w:val="0011077B"/>
    <w:rsid w:val="00113F98"/>
    <w:rsid w:val="00114D94"/>
    <w:rsid w:val="00116327"/>
    <w:rsid w:val="00116E44"/>
    <w:rsid w:val="0011794A"/>
    <w:rsid w:val="00120865"/>
    <w:rsid w:val="00120A8A"/>
    <w:rsid w:val="00124741"/>
    <w:rsid w:val="00125D98"/>
    <w:rsid w:val="00125E99"/>
    <w:rsid w:val="00126879"/>
    <w:rsid w:val="00127838"/>
    <w:rsid w:val="0013123D"/>
    <w:rsid w:val="0013164F"/>
    <w:rsid w:val="00131BA9"/>
    <w:rsid w:val="001320F9"/>
    <w:rsid w:val="00132826"/>
    <w:rsid w:val="00133E33"/>
    <w:rsid w:val="00134A38"/>
    <w:rsid w:val="00134E0C"/>
    <w:rsid w:val="001353A8"/>
    <w:rsid w:val="00135D5C"/>
    <w:rsid w:val="00137AFB"/>
    <w:rsid w:val="00140D40"/>
    <w:rsid w:val="00141085"/>
    <w:rsid w:val="001431C1"/>
    <w:rsid w:val="001438D9"/>
    <w:rsid w:val="0014407F"/>
    <w:rsid w:val="00144208"/>
    <w:rsid w:val="00144F19"/>
    <w:rsid w:val="00144F82"/>
    <w:rsid w:val="0014719E"/>
    <w:rsid w:val="00147C01"/>
    <w:rsid w:val="00150962"/>
    <w:rsid w:val="0015389A"/>
    <w:rsid w:val="001550EB"/>
    <w:rsid w:val="00155C68"/>
    <w:rsid w:val="0015635D"/>
    <w:rsid w:val="0015671F"/>
    <w:rsid w:val="001571B0"/>
    <w:rsid w:val="00160308"/>
    <w:rsid w:val="00161338"/>
    <w:rsid w:val="00162D29"/>
    <w:rsid w:val="00163905"/>
    <w:rsid w:val="00163931"/>
    <w:rsid w:val="0016422C"/>
    <w:rsid w:val="00167250"/>
    <w:rsid w:val="001706A0"/>
    <w:rsid w:val="0017156B"/>
    <w:rsid w:val="001722F7"/>
    <w:rsid w:val="0017353D"/>
    <w:rsid w:val="00174DC4"/>
    <w:rsid w:val="00176648"/>
    <w:rsid w:val="001773A7"/>
    <w:rsid w:val="00181AB0"/>
    <w:rsid w:val="00184F02"/>
    <w:rsid w:val="00185120"/>
    <w:rsid w:val="001866C7"/>
    <w:rsid w:val="00187127"/>
    <w:rsid w:val="00187B25"/>
    <w:rsid w:val="00187EAC"/>
    <w:rsid w:val="00190F3C"/>
    <w:rsid w:val="00191520"/>
    <w:rsid w:val="00191B30"/>
    <w:rsid w:val="001922B9"/>
    <w:rsid w:val="00192545"/>
    <w:rsid w:val="001935E4"/>
    <w:rsid w:val="00194466"/>
    <w:rsid w:val="00195CAC"/>
    <w:rsid w:val="001A057B"/>
    <w:rsid w:val="001A115D"/>
    <w:rsid w:val="001A208B"/>
    <w:rsid w:val="001A23DD"/>
    <w:rsid w:val="001A2BCA"/>
    <w:rsid w:val="001A307C"/>
    <w:rsid w:val="001A4B0B"/>
    <w:rsid w:val="001A5EB4"/>
    <w:rsid w:val="001B2CF9"/>
    <w:rsid w:val="001B4BF9"/>
    <w:rsid w:val="001B7D60"/>
    <w:rsid w:val="001C013D"/>
    <w:rsid w:val="001C10A1"/>
    <w:rsid w:val="001C2134"/>
    <w:rsid w:val="001C3E8D"/>
    <w:rsid w:val="001C60B5"/>
    <w:rsid w:val="001D1A30"/>
    <w:rsid w:val="001D1C27"/>
    <w:rsid w:val="001D2B6F"/>
    <w:rsid w:val="001D54FF"/>
    <w:rsid w:val="001D5903"/>
    <w:rsid w:val="001E13B1"/>
    <w:rsid w:val="001E1C9F"/>
    <w:rsid w:val="001E1E94"/>
    <w:rsid w:val="001E204E"/>
    <w:rsid w:val="001E3013"/>
    <w:rsid w:val="001E3254"/>
    <w:rsid w:val="001E4EA1"/>
    <w:rsid w:val="001E70CD"/>
    <w:rsid w:val="001F2723"/>
    <w:rsid w:val="001F2DED"/>
    <w:rsid w:val="001F4A13"/>
    <w:rsid w:val="001F550F"/>
    <w:rsid w:val="001F7BA6"/>
    <w:rsid w:val="0020347A"/>
    <w:rsid w:val="00203620"/>
    <w:rsid w:val="002044C6"/>
    <w:rsid w:val="00204A5E"/>
    <w:rsid w:val="00205D16"/>
    <w:rsid w:val="00205DDE"/>
    <w:rsid w:val="002116E0"/>
    <w:rsid w:val="00211B6E"/>
    <w:rsid w:val="0021231E"/>
    <w:rsid w:val="00214B54"/>
    <w:rsid w:val="0021526E"/>
    <w:rsid w:val="00216047"/>
    <w:rsid w:val="00216498"/>
    <w:rsid w:val="00216ACB"/>
    <w:rsid w:val="002171E7"/>
    <w:rsid w:val="00217CF6"/>
    <w:rsid w:val="002203CD"/>
    <w:rsid w:val="00220576"/>
    <w:rsid w:val="0022102D"/>
    <w:rsid w:val="00222089"/>
    <w:rsid w:val="0022245A"/>
    <w:rsid w:val="00223402"/>
    <w:rsid w:val="00223A1E"/>
    <w:rsid w:val="0022409D"/>
    <w:rsid w:val="0022426A"/>
    <w:rsid w:val="002249CB"/>
    <w:rsid w:val="0022520D"/>
    <w:rsid w:val="002252A6"/>
    <w:rsid w:val="002263BF"/>
    <w:rsid w:val="00226C08"/>
    <w:rsid w:val="00226C93"/>
    <w:rsid w:val="00231227"/>
    <w:rsid w:val="00231898"/>
    <w:rsid w:val="00231BB4"/>
    <w:rsid w:val="00231CE0"/>
    <w:rsid w:val="00231DCA"/>
    <w:rsid w:val="00231DFE"/>
    <w:rsid w:val="00233A81"/>
    <w:rsid w:val="0023488E"/>
    <w:rsid w:val="00236389"/>
    <w:rsid w:val="00240FCB"/>
    <w:rsid w:val="00242704"/>
    <w:rsid w:val="00242A43"/>
    <w:rsid w:val="00243153"/>
    <w:rsid w:val="00244B54"/>
    <w:rsid w:val="00245B51"/>
    <w:rsid w:val="00247FA1"/>
    <w:rsid w:val="002513EC"/>
    <w:rsid w:val="00251499"/>
    <w:rsid w:val="00252226"/>
    <w:rsid w:val="002524FF"/>
    <w:rsid w:val="002534CF"/>
    <w:rsid w:val="00253E09"/>
    <w:rsid w:val="002605CF"/>
    <w:rsid w:val="00261A1A"/>
    <w:rsid w:val="00262AEC"/>
    <w:rsid w:val="0026449B"/>
    <w:rsid w:val="00265E9E"/>
    <w:rsid w:val="00267FE6"/>
    <w:rsid w:val="00271621"/>
    <w:rsid w:val="00272A19"/>
    <w:rsid w:val="00272DFD"/>
    <w:rsid w:val="002744F5"/>
    <w:rsid w:val="002762D3"/>
    <w:rsid w:val="002807D5"/>
    <w:rsid w:val="00282C7A"/>
    <w:rsid w:val="00284F87"/>
    <w:rsid w:val="002850BA"/>
    <w:rsid w:val="00285F51"/>
    <w:rsid w:val="00291980"/>
    <w:rsid w:val="00291EB8"/>
    <w:rsid w:val="00291F9A"/>
    <w:rsid w:val="002934CB"/>
    <w:rsid w:val="00293B78"/>
    <w:rsid w:val="00293DF6"/>
    <w:rsid w:val="00295252"/>
    <w:rsid w:val="002964CD"/>
    <w:rsid w:val="002965F3"/>
    <w:rsid w:val="002A0387"/>
    <w:rsid w:val="002A1061"/>
    <w:rsid w:val="002A1833"/>
    <w:rsid w:val="002A6367"/>
    <w:rsid w:val="002A63F8"/>
    <w:rsid w:val="002A68A8"/>
    <w:rsid w:val="002A6A7B"/>
    <w:rsid w:val="002A71AF"/>
    <w:rsid w:val="002A7DA1"/>
    <w:rsid w:val="002B15C6"/>
    <w:rsid w:val="002B200F"/>
    <w:rsid w:val="002B2341"/>
    <w:rsid w:val="002B283E"/>
    <w:rsid w:val="002B3DD2"/>
    <w:rsid w:val="002B4554"/>
    <w:rsid w:val="002B4EB5"/>
    <w:rsid w:val="002B5CAB"/>
    <w:rsid w:val="002B7036"/>
    <w:rsid w:val="002B7B18"/>
    <w:rsid w:val="002C1566"/>
    <w:rsid w:val="002C175B"/>
    <w:rsid w:val="002C2FA7"/>
    <w:rsid w:val="002C4453"/>
    <w:rsid w:val="002C488E"/>
    <w:rsid w:val="002C4F78"/>
    <w:rsid w:val="002D62F3"/>
    <w:rsid w:val="002D6E1F"/>
    <w:rsid w:val="002E20D3"/>
    <w:rsid w:val="002E30E9"/>
    <w:rsid w:val="002E4AC2"/>
    <w:rsid w:val="002E66B6"/>
    <w:rsid w:val="002E7363"/>
    <w:rsid w:val="002F0EE1"/>
    <w:rsid w:val="002F1E3E"/>
    <w:rsid w:val="002F43B8"/>
    <w:rsid w:val="002F43C8"/>
    <w:rsid w:val="002F6EDE"/>
    <w:rsid w:val="002F7E45"/>
    <w:rsid w:val="002F7F48"/>
    <w:rsid w:val="00301DAD"/>
    <w:rsid w:val="00301E02"/>
    <w:rsid w:val="00303B8E"/>
    <w:rsid w:val="0030448C"/>
    <w:rsid w:val="00305130"/>
    <w:rsid w:val="003074C8"/>
    <w:rsid w:val="00307DA0"/>
    <w:rsid w:val="00310424"/>
    <w:rsid w:val="00313D2C"/>
    <w:rsid w:val="00313D4C"/>
    <w:rsid w:val="0031704A"/>
    <w:rsid w:val="00317950"/>
    <w:rsid w:val="00317F93"/>
    <w:rsid w:val="00320946"/>
    <w:rsid w:val="00321910"/>
    <w:rsid w:val="0032297B"/>
    <w:rsid w:val="0032337A"/>
    <w:rsid w:val="00326DFB"/>
    <w:rsid w:val="00332802"/>
    <w:rsid w:val="003333EF"/>
    <w:rsid w:val="003350DE"/>
    <w:rsid w:val="003357C8"/>
    <w:rsid w:val="0033781D"/>
    <w:rsid w:val="003402BD"/>
    <w:rsid w:val="00341F68"/>
    <w:rsid w:val="003425AA"/>
    <w:rsid w:val="00346746"/>
    <w:rsid w:val="003471EF"/>
    <w:rsid w:val="00347ED0"/>
    <w:rsid w:val="003509EA"/>
    <w:rsid w:val="003516FD"/>
    <w:rsid w:val="003529C7"/>
    <w:rsid w:val="00352FC5"/>
    <w:rsid w:val="00353548"/>
    <w:rsid w:val="00356B6A"/>
    <w:rsid w:val="003612F3"/>
    <w:rsid w:val="00361318"/>
    <w:rsid w:val="003624EB"/>
    <w:rsid w:val="00363ED8"/>
    <w:rsid w:val="00365598"/>
    <w:rsid w:val="00365E9D"/>
    <w:rsid w:val="00366DB7"/>
    <w:rsid w:val="00367E14"/>
    <w:rsid w:val="003718A0"/>
    <w:rsid w:val="00372A90"/>
    <w:rsid w:val="00374E54"/>
    <w:rsid w:val="00374E65"/>
    <w:rsid w:val="00376B18"/>
    <w:rsid w:val="003777A5"/>
    <w:rsid w:val="00377B4B"/>
    <w:rsid w:val="003821DB"/>
    <w:rsid w:val="00382435"/>
    <w:rsid w:val="00383144"/>
    <w:rsid w:val="003836B0"/>
    <w:rsid w:val="003905AA"/>
    <w:rsid w:val="00390C76"/>
    <w:rsid w:val="00390EF3"/>
    <w:rsid w:val="00393A60"/>
    <w:rsid w:val="003956AE"/>
    <w:rsid w:val="00395703"/>
    <w:rsid w:val="00395E20"/>
    <w:rsid w:val="00395E9F"/>
    <w:rsid w:val="0039630D"/>
    <w:rsid w:val="00396552"/>
    <w:rsid w:val="00396B95"/>
    <w:rsid w:val="00397C48"/>
    <w:rsid w:val="003A218A"/>
    <w:rsid w:val="003A7E7F"/>
    <w:rsid w:val="003B0818"/>
    <w:rsid w:val="003B243B"/>
    <w:rsid w:val="003B479E"/>
    <w:rsid w:val="003B6132"/>
    <w:rsid w:val="003B6362"/>
    <w:rsid w:val="003C0BE5"/>
    <w:rsid w:val="003C1711"/>
    <w:rsid w:val="003C3458"/>
    <w:rsid w:val="003C6DD6"/>
    <w:rsid w:val="003C7400"/>
    <w:rsid w:val="003D1945"/>
    <w:rsid w:val="003D31AA"/>
    <w:rsid w:val="003D6A17"/>
    <w:rsid w:val="003D7DEE"/>
    <w:rsid w:val="003D7E0D"/>
    <w:rsid w:val="003E2131"/>
    <w:rsid w:val="003E235C"/>
    <w:rsid w:val="003E2AFE"/>
    <w:rsid w:val="003E325C"/>
    <w:rsid w:val="003E4F64"/>
    <w:rsid w:val="003E50B1"/>
    <w:rsid w:val="003E5729"/>
    <w:rsid w:val="003E5FDD"/>
    <w:rsid w:val="003E7119"/>
    <w:rsid w:val="003E7DF1"/>
    <w:rsid w:val="003F5A23"/>
    <w:rsid w:val="003F63CB"/>
    <w:rsid w:val="00400138"/>
    <w:rsid w:val="00400936"/>
    <w:rsid w:val="00401C06"/>
    <w:rsid w:val="00402FB0"/>
    <w:rsid w:val="00404246"/>
    <w:rsid w:val="0040749D"/>
    <w:rsid w:val="00407C41"/>
    <w:rsid w:val="00414A6D"/>
    <w:rsid w:val="004158DE"/>
    <w:rsid w:val="0042037A"/>
    <w:rsid w:val="004209C8"/>
    <w:rsid w:val="0042110E"/>
    <w:rsid w:val="00421A1B"/>
    <w:rsid w:val="00430EA3"/>
    <w:rsid w:val="00431AF4"/>
    <w:rsid w:val="0043335A"/>
    <w:rsid w:val="0043355B"/>
    <w:rsid w:val="00434163"/>
    <w:rsid w:val="004344AB"/>
    <w:rsid w:val="0043458B"/>
    <w:rsid w:val="00434FB4"/>
    <w:rsid w:val="00436018"/>
    <w:rsid w:val="00436796"/>
    <w:rsid w:val="00436BAC"/>
    <w:rsid w:val="00436EA0"/>
    <w:rsid w:val="00440756"/>
    <w:rsid w:val="00440BAD"/>
    <w:rsid w:val="004425A8"/>
    <w:rsid w:val="00442AF9"/>
    <w:rsid w:val="004435DD"/>
    <w:rsid w:val="00443717"/>
    <w:rsid w:val="004443D4"/>
    <w:rsid w:val="0044440B"/>
    <w:rsid w:val="00445C31"/>
    <w:rsid w:val="00446AF7"/>
    <w:rsid w:val="00446E26"/>
    <w:rsid w:val="004478A3"/>
    <w:rsid w:val="0045250E"/>
    <w:rsid w:val="00452EEF"/>
    <w:rsid w:val="00453F9F"/>
    <w:rsid w:val="00456429"/>
    <w:rsid w:val="00460602"/>
    <w:rsid w:val="0046081A"/>
    <w:rsid w:val="00463382"/>
    <w:rsid w:val="00465AEC"/>
    <w:rsid w:val="004667CE"/>
    <w:rsid w:val="00470E7D"/>
    <w:rsid w:val="00470EAA"/>
    <w:rsid w:val="00470EB7"/>
    <w:rsid w:val="0047129F"/>
    <w:rsid w:val="00474281"/>
    <w:rsid w:val="004745A4"/>
    <w:rsid w:val="004749A3"/>
    <w:rsid w:val="0047506B"/>
    <w:rsid w:val="00475E50"/>
    <w:rsid w:val="00480F2D"/>
    <w:rsid w:val="00481717"/>
    <w:rsid w:val="0048186B"/>
    <w:rsid w:val="00481B33"/>
    <w:rsid w:val="00482EAA"/>
    <w:rsid w:val="00484A2D"/>
    <w:rsid w:val="00484E0B"/>
    <w:rsid w:val="00485AD7"/>
    <w:rsid w:val="00487113"/>
    <w:rsid w:val="004918E8"/>
    <w:rsid w:val="0049339C"/>
    <w:rsid w:val="004954E1"/>
    <w:rsid w:val="00496813"/>
    <w:rsid w:val="00496EDB"/>
    <w:rsid w:val="004A0660"/>
    <w:rsid w:val="004A107A"/>
    <w:rsid w:val="004A11FE"/>
    <w:rsid w:val="004A18DC"/>
    <w:rsid w:val="004A1A4E"/>
    <w:rsid w:val="004A383F"/>
    <w:rsid w:val="004A4EBE"/>
    <w:rsid w:val="004A54E1"/>
    <w:rsid w:val="004A65BF"/>
    <w:rsid w:val="004A7CCA"/>
    <w:rsid w:val="004B0B96"/>
    <w:rsid w:val="004B0EAE"/>
    <w:rsid w:val="004B1181"/>
    <w:rsid w:val="004B29DB"/>
    <w:rsid w:val="004B33C2"/>
    <w:rsid w:val="004B4770"/>
    <w:rsid w:val="004B5A20"/>
    <w:rsid w:val="004B5B8D"/>
    <w:rsid w:val="004B61AF"/>
    <w:rsid w:val="004B63B4"/>
    <w:rsid w:val="004B657A"/>
    <w:rsid w:val="004B6C40"/>
    <w:rsid w:val="004C033C"/>
    <w:rsid w:val="004C3912"/>
    <w:rsid w:val="004C5B60"/>
    <w:rsid w:val="004C5EBD"/>
    <w:rsid w:val="004C7C35"/>
    <w:rsid w:val="004D18D0"/>
    <w:rsid w:val="004D249D"/>
    <w:rsid w:val="004D27F0"/>
    <w:rsid w:val="004D38DE"/>
    <w:rsid w:val="004D545B"/>
    <w:rsid w:val="004D74C4"/>
    <w:rsid w:val="004D7507"/>
    <w:rsid w:val="004E1374"/>
    <w:rsid w:val="004E392E"/>
    <w:rsid w:val="004E5E77"/>
    <w:rsid w:val="004E752A"/>
    <w:rsid w:val="004F2AC7"/>
    <w:rsid w:val="004F4700"/>
    <w:rsid w:val="004F47F2"/>
    <w:rsid w:val="004F4F2C"/>
    <w:rsid w:val="004F509F"/>
    <w:rsid w:val="004F67E6"/>
    <w:rsid w:val="004F74C2"/>
    <w:rsid w:val="004F7844"/>
    <w:rsid w:val="00500263"/>
    <w:rsid w:val="00501EC5"/>
    <w:rsid w:val="00503C29"/>
    <w:rsid w:val="00504335"/>
    <w:rsid w:val="00504B0E"/>
    <w:rsid w:val="00506C51"/>
    <w:rsid w:val="00506D16"/>
    <w:rsid w:val="00507BD3"/>
    <w:rsid w:val="00513A6C"/>
    <w:rsid w:val="0051483A"/>
    <w:rsid w:val="005159F6"/>
    <w:rsid w:val="00516F4B"/>
    <w:rsid w:val="00521D30"/>
    <w:rsid w:val="0052268A"/>
    <w:rsid w:val="00523A3A"/>
    <w:rsid w:val="00525B57"/>
    <w:rsid w:val="005274F8"/>
    <w:rsid w:val="00527C25"/>
    <w:rsid w:val="00527E59"/>
    <w:rsid w:val="005305C9"/>
    <w:rsid w:val="00534D20"/>
    <w:rsid w:val="0053690F"/>
    <w:rsid w:val="005372EF"/>
    <w:rsid w:val="0053749B"/>
    <w:rsid w:val="00540AA9"/>
    <w:rsid w:val="00540D25"/>
    <w:rsid w:val="00542568"/>
    <w:rsid w:val="00542791"/>
    <w:rsid w:val="00542A4C"/>
    <w:rsid w:val="005453B4"/>
    <w:rsid w:val="00551F31"/>
    <w:rsid w:val="00552329"/>
    <w:rsid w:val="005550B5"/>
    <w:rsid w:val="0056354E"/>
    <w:rsid w:val="00563BC0"/>
    <w:rsid w:val="00565A9B"/>
    <w:rsid w:val="00565E28"/>
    <w:rsid w:val="00566E6B"/>
    <w:rsid w:val="005678AB"/>
    <w:rsid w:val="005727CF"/>
    <w:rsid w:val="0057285F"/>
    <w:rsid w:val="0057430F"/>
    <w:rsid w:val="00575B33"/>
    <w:rsid w:val="00575F69"/>
    <w:rsid w:val="0057617A"/>
    <w:rsid w:val="005767A5"/>
    <w:rsid w:val="00577912"/>
    <w:rsid w:val="00577B02"/>
    <w:rsid w:val="00577D36"/>
    <w:rsid w:val="005807D2"/>
    <w:rsid w:val="00580A3F"/>
    <w:rsid w:val="00584FFF"/>
    <w:rsid w:val="00585CB8"/>
    <w:rsid w:val="00586039"/>
    <w:rsid w:val="00591399"/>
    <w:rsid w:val="005918A3"/>
    <w:rsid w:val="005919B2"/>
    <w:rsid w:val="00591A59"/>
    <w:rsid w:val="00593B4C"/>
    <w:rsid w:val="00593CBB"/>
    <w:rsid w:val="00594158"/>
    <w:rsid w:val="00594E49"/>
    <w:rsid w:val="005953AC"/>
    <w:rsid w:val="005969C7"/>
    <w:rsid w:val="005A035B"/>
    <w:rsid w:val="005A20AE"/>
    <w:rsid w:val="005A285E"/>
    <w:rsid w:val="005A44BB"/>
    <w:rsid w:val="005A4559"/>
    <w:rsid w:val="005A4AAB"/>
    <w:rsid w:val="005A5378"/>
    <w:rsid w:val="005A5557"/>
    <w:rsid w:val="005A5E82"/>
    <w:rsid w:val="005A70A0"/>
    <w:rsid w:val="005B132F"/>
    <w:rsid w:val="005B2D62"/>
    <w:rsid w:val="005B2E76"/>
    <w:rsid w:val="005B506C"/>
    <w:rsid w:val="005B581E"/>
    <w:rsid w:val="005B5E62"/>
    <w:rsid w:val="005B7465"/>
    <w:rsid w:val="005B7D92"/>
    <w:rsid w:val="005C0601"/>
    <w:rsid w:val="005C16C8"/>
    <w:rsid w:val="005C209F"/>
    <w:rsid w:val="005C2899"/>
    <w:rsid w:val="005C2D2A"/>
    <w:rsid w:val="005C620D"/>
    <w:rsid w:val="005C7504"/>
    <w:rsid w:val="005D0B10"/>
    <w:rsid w:val="005D1F8C"/>
    <w:rsid w:val="005D2528"/>
    <w:rsid w:val="005D26C9"/>
    <w:rsid w:val="005D4097"/>
    <w:rsid w:val="005D4A5F"/>
    <w:rsid w:val="005D6C35"/>
    <w:rsid w:val="005D7571"/>
    <w:rsid w:val="005D78D1"/>
    <w:rsid w:val="005E1ECC"/>
    <w:rsid w:val="005E46D7"/>
    <w:rsid w:val="005E513C"/>
    <w:rsid w:val="005E65E9"/>
    <w:rsid w:val="005F14A0"/>
    <w:rsid w:val="005F278F"/>
    <w:rsid w:val="005F2A06"/>
    <w:rsid w:val="005F2D83"/>
    <w:rsid w:val="005F44C3"/>
    <w:rsid w:val="005F6458"/>
    <w:rsid w:val="006000E0"/>
    <w:rsid w:val="00600BF3"/>
    <w:rsid w:val="00602726"/>
    <w:rsid w:val="00606D2C"/>
    <w:rsid w:val="00607784"/>
    <w:rsid w:val="0061061D"/>
    <w:rsid w:val="00612ED8"/>
    <w:rsid w:val="00613A5A"/>
    <w:rsid w:val="00620C34"/>
    <w:rsid w:val="00620E96"/>
    <w:rsid w:val="00620FA1"/>
    <w:rsid w:val="006236DC"/>
    <w:rsid w:val="00627CD3"/>
    <w:rsid w:val="0063158C"/>
    <w:rsid w:val="006336E8"/>
    <w:rsid w:val="00634B64"/>
    <w:rsid w:val="006369D0"/>
    <w:rsid w:val="006379EA"/>
    <w:rsid w:val="00641E74"/>
    <w:rsid w:val="006423DA"/>
    <w:rsid w:val="00643266"/>
    <w:rsid w:val="006446A2"/>
    <w:rsid w:val="006446B9"/>
    <w:rsid w:val="00644773"/>
    <w:rsid w:val="00646A23"/>
    <w:rsid w:val="00646A3A"/>
    <w:rsid w:val="00646B86"/>
    <w:rsid w:val="00647494"/>
    <w:rsid w:val="006476BB"/>
    <w:rsid w:val="00650E9F"/>
    <w:rsid w:val="00651928"/>
    <w:rsid w:val="006529F8"/>
    <w:rsid w:val="00660CBE"/>
    <w:rsid w:val="00660D20"/>
    <w:rsid w:val="0066163F"/>
    <w:rsid w:val="00661DFD"/>
    <w:rsid w:val="006625CF"/>
    <w:rsid w:val="006630AD"/>
    <w:rsid w:val="00665C28"/>
    <w:rsid w:val="00665D8D"/>
    <w:rsid w:val="00665F62"/>
    <w:rsid w:val="0067006D"/>
    <w:rsid w:val="00672325"/>
    <w:rsid w:val="0067240F"/>
    <w:rsid w:val="00673727"/>
    <w:rsid w:val="0067477C"/>
    <w:rsid w:val="00674921"/>
    <w:rsid w:val="006768ED"/>
    <w:rsid w:val="00677785"/>
    <w:rsid w:val="006809CD"/>
    <w:rsid w:val="00681F77"/>
    <w:rsid w:val="006850EC"/>
    <w:rsid w:val="00686F42"/>
    <w:rsid w:val="0069154E"/>
    <w:rsid w:val="0069173E"/>
    <w:rsid w:val="00691E22"/>
    <w:rsid w:val="00692C78"/>
    <w:rsid w:val="00694B98"/>
    <w:rsid w:val="00696334"/>
    <w:rsid w:val="006A04CB"/>
    <w:rsid w:val="006A38CC"/>
    <w:rsid w:val="006A3FB6"/>
    <w:rsid w:val="006A40B7"/>
    <w:rsid w:val="006A42F4"/>
    <w:rsid w:val="006A457C"/>
    <w:rsid w:val="006A59B7"/>
    <w:rsid w:val="006A6A3B"/>
    <w:rsid w:val="006A707B"/>
    <w:rsid w:val="006B0FC5"/>
    <w:rsid w:val="006B2E41"/>
    <w:rsid w:val="006B404E"/>
    <w:rsid w:val="006B748B"/>
    <w:rsid w:val="006C0A5D"/>
    <w:rsid w:val="006C2604"/>
    <w:rsid w:val="006C4D11"/>
    <w:rsid w:val="006C63C3"/>
    <w:rsid w:val="006C68DF"/>
    <w:rsid w:val="006C78D5"/>
    <w:rsid w:val="006C7E77"/>
    <w:rsid w:val="006D2792"/>
    <w:rsid w:val="006D2868"/>
    <w:rsid w:val="006D2D3E"/>
    <w:rsid w:val="006D4294"/>
    <w:rsid w:val="006D73A6"/>
    <w:rsid w:val="006D7F57"/>
    <w:rsid w:val="006E0710"/>
    <w:rsid w:val="006E16CD"/>
    <w:rsid w:val="006E1D33"/>
    <w:rsid w:val="006E2389"/>
    <w:rsid w:val="006E311B"/>
    <w:rsid w:val="006E5652"/>
    <w:rsid w:val="006F31E0"/>
    <w:rsid w:val="006F3704"/>
    <w:rsid w:val="006F42E3"/>
    <w:rsid w:val="006F5DDD"/>
    <w:rsid w:val="006F72B2"/>
    <w:rsid w:val="006F769D"/>
    <w:rsid w:val="006F7720"/>
    <w:rsid w:val="00700BED"/>
    <w:rsid w:val="00703116"/>
    <w:rsid w:val="0070540C"/>
    <w:rsid w:val="00706272"/>
    <w:rsid w:val="007066E0"/>
    <w:rsid w:val="00711C13"/>
    <w:rsid w:val="00712B8B"/>
    <w:rsid w:val="00712CE7"/>
    <w:rsid w:val="00713652"/>
    <w:rsid w:val="00714D6C"/>
    <w:rsid w:val="00715CBB"/>
    <w:rsid w:val="00717C7A"/>
    <w:rsid w:val="00721202"/>
    <w:rsid w:val="007234D3"/>
    <w:rsid w:val="00725812"/>
    <w:rsid w:val="00726AE0"/>
    <w:rsid w:val="00731229"/>
    <w:rsid w:val="00735650"/>
    <w:rsid w:val="0073615A"/>
    <w:rsid w:val="0073755D"/>
    <w:rsid w:val="00740D1D"/>
    <w:rsid w:val="00741BF8"/>
    <w:rsid w:val="007438F5"/>
    <w:rsid w:val="00743AA3"/>
    <w:rsid w:val="007459AE"/>
    <w:rsid w:val="00751AB0"/>
    <w:rsid w:val="0075329F"/>
    <w:rsid w:val="00755B32"/>
    <w:rsid w:val="00755D24"/>
    <w:rsid w:val="00763152"/>
    <w:rsid w:val="00764B4A"/>
    <w:rsid w:val="0076606E"/>
    <w:rsid w:val="00771B56"/>
    <w:rsid w:val="007754FC"/>
    <w:rsid w:val="007763B7"/>
    <w:rsid w:val="00776476"/>
    <w:rsid w:val="00777A9A"/>
    <w:rsid w:val="00777CA8"/>
    <w:rsid w:val="00782C30"/>
    <w:rsid w:val="00783237"/>
    <w:rsid w:val="007837DF"/>
    <w:rsid w:val="00786D34"/>
    <w:rsid w:val="00787B46"/>
    <w:rsid w:val="00790532"/>
    <w:rsid w:val="0079590E"/>
    <w:rsid w:val="00795FE9"/>
    <w:rsid w:val="00796FDA"/>
    <w:rsid w:val="007A113B"/>
    <w:rsid w:val="007B6C4B"/>
    <w:rsid w:val="007C0C44"/>
    <w:rsid w:val="007C2713"/>
    <w:rsid w:val="007C3D5F"/>
    <w:rsid w:val="007C49D1"/>
    <w:rsid w:val="007C4F6F"/>
    <w:rsid w:val="007D239F"/>
    <w:rsid w:val="007D2483"/>
    <w:rsid w:val="007D565B"/>
    <w:rsid w:val="007D6ECE"/>
    <w:rsid w:val="007E109A"/>
    <w:rsid w:val="007E41AF"/>
    <w:rsid w:val="007E4441"/>
    <w:rsid w:val="007E44AF"/>
    <w:rsid w:val="007E520E"/>
    <w:rsid w:val="007E53DB"/>
    <w:rsid w:val="007E66DC"/>
    <w:rsid w:val="007F169F"/>
    <w:rsid w:val="007F3EF1"/>
    <w:rsid w:val="007F5340"/>
    <w:rsid w:val="007F6F66"/>
    <w:rsid w:val="007F7478"/>
    <w:rsid w:val="007F7A14"/>
    <w:rsid w:val="007F7CA7"/>
    <w:rsid w:val="008034DB"/>
    <w:rsid w:val="00803A20"/>
    <w:rsid w:val="00803EF1"/>
    <w:rsid w:val="0080551B"/>
    <w:rsid w:val="008066F1"/>
    <w:rsid w:val="00811A08"/>
    <w:rsid w:val="00814326"/>
    <w:rsid w:val="0081451B"/>
    <w:rsid w:val="00816AB8"/>
    <w:rsid w:val="00817FAD"/>
    <w:rsid w:val="00822E87"/>
    <w:rsid w:val="008230F4"/>
    <w:rsid w:val="0082432D"/>
    <w:rsid w:val="00826955"/>
    <w:rsid w:val="00827A83"/>
    <w:rsid w:val="00830834"/>
    <w:rsid w:val="00830DA4"/>
    <w:rsid w:val="00831BAE"/>
    <w:rsid w:val="00831C82"/>
    <w:rsid w:val="00831F2E"/>
    <w:rsid w:val="00832E17"/>
    <w:rsid w:val="008334E7"/>
    <w:rsid w:val="0083399A"/>
    <w:rsid w:val="00833B17"/>
    <w:rsid w:val="00833BA0"/>
    <w:rsid w:val="00833EBB"/>
    <w:rsid w:val="00834302"/>
    <w:rsid w:val="00834D89"/>
    <w:rsid w:val="0083542A"/>
    <w:rsid w:val="00836F33"/>
    <w:rsid w:val="00840195"/>
    <w:rsid w:val="00840C17"/>
    <w:rsid w:val="00841D7B"/>
    <w:rsid w:val="00842C7D"/>
    <w:rsid w:val="008430E6"/>
    <w:rsid w:val="0084382E"/>
    <w:rsid w:val="008469B2"/>
    <w:rsid w:val="0084723C"/>
    <w:rsid w:val="00852403"/>
    <w:rsid w:val="00852F23"/>
    <w:rsid w:val="008551A8"/>
    <w:rsid w:val="0085592D"/>
    <w:rsid w:val="008568F4"/>
    <w:rsid w:val="00861E22"/>
    <w:rsid w:val="008638BD"/>
    <w:rsid w:val="0086453F"/>
    <w:rsid w:val="0086581C"/>
    <w:rsid w:val="00867C36"/>
    <w:rsid w:val="00870C9E"/>
    <w:rsid w:val="00870D2F"/>
    <w:rsid w:val="00871F10"/>
    <w:rsid w:val="008724CC"/>
    <w:rsid w:val="00872C4E"/>
    <w:rsid w:val="00872F0E"/>
    <w:rsid w:val="0087373F"/>
    <w:rsid w:val="00873D80"/>
    <w:rsid w:val="00874D7C"/>
    <w:rsid w:val="00874E9F"/>
    <w:rsid w:val="00875507"/>
    <w:rsid w:val="00875B97"/>
    <w:rsid w:val="00877815"/>
    <w:rsid w:val="00877DC6"/>
    <w:rsid w:val="00882949"/>
    <w:rsid w:val="00885600"/>
    <w:rsid w:val="0088638F"/>
    <w:rsid w:val="008867A4"/>
    <w:rsid w:val="00887139"/>
    <w:rsid w:val="00887BF8"/>
    <w:rsid w:val="00893D74"/>
    <w:rsid w:val="008957A9"/>
    <w:rsid w:val="008968DE"/>
    <w:rsid w:val="008A008B"/>
    <w:rsid w:val="008A1548"/>
    <w:rsid w:val="008A25A3"/>
    <w:rsid w:val="008A2C57"/>
    <w:rsid w:val="008A3E4C"/>
    <w:rsid w:val="008A3E61"/>
    <w:rsid w:val="008A4BF8"/>
    <w:rsid w:val="008A621B"/>
    <w:rsid w:val="008A6544"/>
    <w:rsid w:val="008A6715"/>
    <w:rsid w:val="008B0E77"/>
    <w:rsid w:val="008B1C3B"/>
    <w:rsid w:val="008B4436"/>
    <w:rsid w:val="008B5C2E"/>
    <w:rsid w:val="008C26D2"/>
    <w:rsid w:val="008C2B9F"/>
    <w:rsid w:val="008C317D"/>
    <w:rsid w:val="008C4129"/>
    <w:rsid w:val="008C55EF"/>
    <w:rsid w:val="008C638B"/>
    <w:rsid w:val="008C6EA3"/>
    <w:rsid w:val="008D0F59"/>
    <w:rsid w:val="008D340E"/>
    <w:rsid w:val="008D43F3"/>
    <w:rsid w:val="008D4BAF"/>
    <w:rsid w:val="008D5029"/>
    <w:rsid w:val="008D5478"/>
    <w:rsid w:val="008D5A5A"/>
    <w:rsid w:val="008D61F2"/>
    <w:rsid w:val="008D6EA6"/>
    <w:rsid w:val="008D7CE1"/>
    <w:rsid w:val="008E0BB5"/>
    <w:rsid w:val="008E14EB"/>
    <w:rsid w:val="008E1645"/>
    <w:rsid w:val="008E1CDE"/>
    <w:rsid w:val="008E32E0"/>
    <w:rsid w:val="008E3C44"/>
    <w:rsid w:val="008E4DEF"/>
    <w:rsid w:val="008E6EF8"/>
    <w:rsid w:val="008E7D49"/>
    <w:rsid w:val="008F0116"/>
    <w:rsid w:val="008F251C"/>
    <w:rsid w:val="008F2BD6"/>
    <w:rsid w:val="008F2C72"/>
    <w:rsid w:val="008F306D"/>
    <w:rsid w:val="008F395B"/>
    <w:rsid w:val="008F4898"/>
    <w:rsid w:val="008F4A53"/>
    <w:rsid w:val="008F651F"/>
    <w:rsid w:val="008F6E7B"/>
    <w:rsid w:val="008F710E"/>
    <w:rsid w:val="009004B8"/>
    <w:rsid w:val="00900D89"/>
    <w:rsid w:val="00900F6F"/>
    <w:rsid w:val="00902636"/>
    <w:rsid w:val="0090490B"/>
    <w:rsid w:val="0090772E"/>
    <w:rsid w:val="00907948"/>
    <w:rsid w:val="009110A8"/>
    <w:rsid w:val="009120E3"/>
    <w:rsid w:val="00912611"/>
    <w:rsid w:val="00912F2B"/>
    <w:rsid w:val="00913804"/>
    <w:rsid w:val="00913916"/>
    <w:rsid w:val="00915094"/>
    <w:rsid w:val="009166CA"/>
    <w:rsid w:val="00920486"/>
    <w:rsid w:val="00921752"/>
    <w:rsid w:val="00922DFD"/>
    <w:rsid w:val="00924580"/>
    <w:rsid w:val="0092493D"/>
    <w:rsid w:val="00925D74"/>
    <w:rsid w:val="0092793F"/>
    <w:rsid w:val="00930C94"/>
    <w:rsid w:val="00936A5B"/>
    <w:rsid w:val="00940457"/>
    <w:rsid w:val="00944123"/>
    <w:rsid w:val="00944347"/>
    <w:rsid w:val="00952004"/>
    <w:rsid w:val="00952AD7"/>
    <w:rsid w:val="00952ED5"/>
    <w:rsid w:val="00954C3F"/>
    <w:rsid w:val="009555CC"/>
    <w:rsid w:val="0096202A"/>
    <w:rsid w:val="009637E0"/>
    <w:rsid w:val="00964375"/>
    <w:rsid w:val="00964D61"/>
    <w:rsid w:val="0097287F"/>
    <w:rsid w:val="00973033"/>
    <w:rsid w:val="00974094"/>
    <w:rsid w:val="0097496E"/>
    <w:rsid w:val="009749A3"/>
    <w:rsid w:val="00975655"/>
    <w:rsid w:val="009771BF"/>
    <w:rsid w:val="00977834"/>
    <w:rsid w:val="0098172B"/>
    <w:rsid w:val="00981B18"/>
    <w:rsid w:val="0098296E"/>
    <w:rsid w:val="00983FC4"/>
    <w:rsid w:val="00985154"/>
    <w:rsid w:val="00985781"/>
    <w:rsid w:val="009864C3"/>
    <w:rsid w:val="0098696E"/>
    <w:rsid w:val="00986FAA"/>
    <w:rsid w:val="0099049E"/>
    <w:rsid w:val="00990E45"/>
    <w:rsid w:val="00991228"/>
    <w:rsid w:val="009956FD"/>
    <w:rsid w:val="00996681"/>
    <w:rsid w:val="00996F34"/>
    <w:rsid w:val="009979A5"/>
    <w:rsid w:val="009A0C94"/>
    <w:rsid w:val="009A21F1"/>
    <w:rsid w:val="009A4D90"/>
    <w:rsid w:val="009A506F"/>
    <w:rsid w:val="009A581C"/>
    <w:rsid w:val="009A71DE"/>
    <w:rsid w:val="009B0EA0"/>
    <w:rsid w:val="009B20AB"/>
    <w:rsid w:val="009B35C9"/>
    <w:rsid w:val="009B360F"/>
    <w:rsid w:val="009B385F"/>
    <w:rsid w:val="009B3D09"/>
    <w:rsid w:val="009B5A22"/>
    <w:rsid w:val="009B5FA6"/>
    <w:rsid w:val="009C0789"/>
    <w:rsid w:val="009C10AA"/>
    <w:rsid w:val="009C20C3"/>
    <w:rsid w:val="009C40A2"/>
    <w:rsid w:val="009C4418"/>
    <w:rsid w:val="009C4DDD"/>
    <w:rsid w:val="009C5DA3"/>
    <w:rsid w:val="009C64E9"/>
    <w:rsid w:val="009C6586"/>
    <w:rsid w:val="009C6D1E"/>
    <w:rsid w:val="009D22A2"/>
    <w:rsid w:val="009D2A89"/>
    <w:rsid w:val="009D3F49"/>
    <w:rsid w:val="009D69BB"/>
    <w:rsid w:val="009D6FEC"/>
    <w:rsid w:val="009D7B68"/>
    <w:rsid w:val="009D7CB2"/>
    <w:rsid w:val="009D7F39"/>
    <w:rsid w:val="009E0FC5"/>
    <w:rsid w:val="009E169E"/>
    <w:rsid w:val="009E5051"/>
    <w:rsid w:val="009E579A"/>
    <w:rsid w:val="009E5FC7"/>
    <w:rsid w:val="009E6050"/>
    <w:rsid w:val="009E636C"/>
    <w:rsid w:val="009E7680"/>
    <w:rsid w:val="009E7DF3"/>
    <w:rsid w:val="009F0D9C"/>
    <w:rsid w:val="009F1B17"/>
    <w:rsid w:val="009F564D"/>
    <w:rsid w:val="009F7222"/>
    <w:rsid w:val="009F758D"/>
    <w:rsid w:val="009F7EB1"/>
    <w:rsid w:val="00A0001F"/>
    <w:rsid w:val="00A01803"/>
    <w:rsid w:val="00A02932"/>
    <w:rsid w:val="00A0534D"/>
    <w:rsid w:val="00A06AC0"/>
    <w:rsid w:val="00A10A27"/>
    <w:rsid w:val="00A127B8"/>
    <w:rsid w:val="00A137B5"/>
    <w:rsid w:val="00A15316"/>
    <w:rsid w:val="00A15C83"/>
    <w:rsid w:val="00A17357"/>
    <w:rsid w:val="00A17F82"/>
    <w:rsid w:val="00A22992"/>
    <w:rsid w:val="00A233D0"/>
    <w:rsid w:val="00A26F70"/>
    <w:rsid w:val="00A27047"/>
    <w:rsid w:val="00A315DE"/>
    <w:rsid w:val="00A31A7B"/>
    <w:rsid w:val="00A31ACC"/>
    <w:rsid w:val="00A3201E"/>
    <w:rsid w:val="00A33D16"/>
    <w:rsid w:val="00A33E5B"/>
    <w:rsid w:val="00A34AE3"/>
    <w:rsid w:val="00A34E9E"/>
    <w:rsid w:val="00A35A66"/>
    <w:rsid w:val="00A35BCB"/>
    <w:rsid w:val="00A36486"/>
    <w:rsid w:val="00A4033E"/>
    <w:rsid w:val="00A42F90"/>
    <w:rsid w:val="00A43EFE"/>
    <w:rsid w:val="00A46208"/>
    <w:rsid w:val="00A464EE"/>
    <w:rsid w:val="00A475BF"/>
    <w:rsid w:val="00A47F19"/>
    <w:rsid w:val="00A503F4"/>
    <w:rsid w:val="00A506A3"/>
    <w:rsid w:val="00A514E9"/>
    <w:rsid w:val="00A51D24"/>
    <w:rsid w:val="00A5281F"/>
    <w:rsid w:val="00A5341A"/>
    <w:rsid w:val="00A53F58"/>
    <w:rsid w:val="00A54400"/>
    <w:rsid w:val="00A569CD"/>
    <w:rsid w:val="00A56DA2"/>
    <w:rsid w:val="00A61A65"/>
    <w:rsid w:val="00A64408"/>
    <w:rsid w:val="00A6700B"/>
    <w:rsid w:val="00A706AE"/>
    <w:rsid w:val="00A72A96"/>
    <w:rsid w:val="00A7353E"/>
    <w:rsid w:val="00A7528F"/>
    <w:rsid w:val="00A77C8D"/>
    <w:rsid w:val="00A811F4"/>
    <w:rsid w:val="00A82840"/>
    <w:rsid w:val="00A84922"/>
    <w:rsid w:val="00A84A4D"/>
    <w:rsid w:val="00A852AD"/>
    <w:rsid w:val="00A85A22"/>
    <w:rsid w:val="00A87298"/>
    <w:rsid w:val="00A874A6"/>
    <w:rsid w:val="00A87740"/>
    <w:rsid w:val="00A90B55"/>
    <w:rsid w:val="00A90FB3"/>
    <w:rsid w:val="00A922A0"/>
    <w:rsid w:val="00A92909"/>
    <w:rsid w:val="00A94EB8"/>
    <w:rsid w:val="00A95EDF"/>
    <w:rsid w:val="00A97B86"/>
    <w:rsid w:val="00AA2F2B"/>
    <w:rsid w:val="00AA31A0"/>
    <w:rsid w:val="00AA5247"/>
    <w:rsid w:val="00AA57AD"/>
    <w:rsid w:val="00AA59CD"/>
    <w:rsid w:val="00AB0FA8"/>
    <w:rsid w:val="00AB56CB"/>
    <w:rsid w:val="00AB6018"/>
    <w:rsid w:val="00AB7E2B"/>
    <w:rsid w:val="00AC2072"/>
    <w:rsid w:val="00AC28B1"/>
    <w:rsid w:val="00AC378C"/>
    <w:rsid w:val="00AC476D"/>
    <w:rsid w:val="00AC5098"/>
    <w:rsid w:val="00AC655A"/>
    <w:rsid w:val="00AC6BFF"/>
    <w:rsid w:val="00AC71B6"/>
    <w:rsid w:val="00AC7875"/>
    <w:rsid w:val="00AD2A8A"/>
    <w:rsid w:val="00AD348C"/>
    <w:rsid w:val="00AD3855"/>
    <w:rsid w:val="00AD3CFD"/>
    <w:rsid w:val="00AD413B"/>
    <w:rsid w:val="00AE18C2"/>
    <w:rsid w:val="00AE3617"/>
    <w:rsid w:val="00AE3A2E"/>
    <w:rsid w:val="00AE5A87"/>
    <w:rsid w:val="00AE66AD"/>
    <w:rsid w:val="00AE67CF"/>
    <w:rsid w:val="00AF17F2"/>
    <w:rsid w:val="00AF2456"/>
    <w:rsid w:val="00AF5329"/>
    <w:rsid w:val="00AF6286"/>
    <w:rsid w:val="00AF7B35"/>
    <w:rsid w:val="00B00D61"/>
    <w:rsid w:val="00B014C2"/>
    <w:rsid w:val="00B01A0A"/>
    <w:rsid w:val="00B034CF"/>
    <w:rsid w:val="00B049DF"/>
    <w:rsid w:val="00B0589E"/>
    <w:rsid w:val="00B05F3A"/>
    <w:rsid w:val="00B06EE1"/>
    <w:rsid w:val="00B07F67"/>
    <w:rsid w:val="00B100A8"/>
    <w:rsid w:val="00B1118F"/>
    <w:rsid w:val="00B135F9"/>
    <w:rsid w:val="00B13B7D"/>
    <w:rsid w:val="00B14AC0"/>
    <w:rsid w:val="00B1787D"/>
    <w:rsid w:val="00B23D71"/>
    <w:rsid w:val="00B240A3"/>
    <w:rsid w:val="00B248AD"/>
    <w:rsid w:val="00B24B18"/>
    <w:rsid w:val="00B256BE"/>
    <w:rsid w:val="00B25F0C"/>
    <w:rsid w:val="00B2729D"/>
    <w:rsid w:val="00B27F7D"/>
    <w:rsid w:val="00B31B3A"/>
    <w:rsid w:val="00B334E7"/>
    <w:rsid w:val="00B3356A"/>
    <w:rsid w:val="00B33982"/>
    <w:rsid w:val="00B33ABF"/>
    <w:rsid w:val="00B33D82"/>
    <w:rsid w:val="00B33E05"/>
    <w:rsid w:val="00B34052"/>
    <w:rsid w:val="00B34EFB"/>
    <w:rsid w:val="00B35A1A"/>
    <w:rsid w:val="00B3693D"/>
    <w:rsid w:val="00B40C76"/>
    <w:rsid w:val="00B41006"/>
    <w:rsid w:val="00B4128C"/>
    <w:rsid w:val="00B41717"/>
    <w:rsid w:val="00B421EC"/>
    <w:rsid w:val="00B4491C"/>
    <w:rsid w:val="00B46BC5"/>
    <w:rsid w:val="00B474C9"/>
    <w:rsid w:val="00B476F9"/>
    <w:rsid w:val="00B53715"/>
    <w:rsid w:val="00B553C0"/>
    <w:rsid w:val="00B56836"/>
    <w:rsid w:val="00B568C3"/>
    <w:rsid w:val="00B576CA"/>
    <w:rsid w:val="00B57C54"/>
    <w:rsid w:val="00B60095"/>
    <w:rsid w:val="00B61215"/>
    <w:rsid w:val="00B618B0"/>
    <w:rsid w:val="00B63915"/>
    <w:rsid w:val="00B6428D"/>
    <w:rsid w:val="00B65012"/>
    <w:rsid w:val="00B65C5B"/>
    <w:rsid w:val="00B660AF"/>
    <w:rsid w:val="00B66468"/>
    <w:rsid w:val="00B67076"/>
    <w:rsid w:val="00B67323"/>
    <w:rsid w:val="00B67610"/>
    <w:rsid w:val="00B7023D"/>
    <w:rsid w:val="00B70B9F"/>
    <w:rsid w:val="00B72EF7"/>
    <w:rsid w:val="00B73E0A"/>
    <w:rsid w:val="00B7623A"/>
    <w:rsid w:val="00B77511"/>
    <w:rsid w:val="00B81753"/>
    <w:rsid w:val="00B831CB"/>
    <w:rsid w:val="00B853DE"/>
    <w:rsid w:val="00B85817"/>
    <w:rsid w:val="00B8587A"/>
    <w:rsid w:val="00B9244D"/>
    <w:rsid w:val="00B92E22"/>
    <w:rsid w:val="00B95141"/>
    <w:rsid w:val="00B9535C"/>
    <w:rsid w:val="00B95492"/>
    <w:rsid w:val="00B959A1"/>
    <w:rsid w:val="00B959DB"/>
    <w:rsid w:val="00B96448"/>
    <w:rsid w:val="00B96D65"/>
    <w:rsid w:val="00B9758D"/>
    <w:rsid w:val="00BA03A8"/>
    <w:rsid w:val="00BA0B6F"/>
    <w:rsid w:val="00BA13F9"/>
    <w:rsid w:val="00BA16B6"/>
    <w:rsid w:val="00BA246D"/>
    <w:rsid w:val="00BA3190"/>
    <w:rsid w:val="00BA3A4E"/>
    <w:rsid w:val="00BA47B7"/>
    <w:rsid w:val="00BA6850"/>
    <w:rsid w:val="00BB0C34"/>
    <w:rsid w:val="00BB11BA"/>
    <w:rsid w:val="00BB14B2"/>
    <w:rsid w:val="00BB26BA"/>
    <w:rsid w:val="00BB50BC"/>
    <w:rsid w:val="00BB5CC7"/>
    <w:rsid w:val="00BB7299"/>
    <w:rsid w:val="00BB76C9"/>
    <w:rsid w:val="00BB7C9A"/>
    <w:rsid w:val="00BC0383"/>
    <w:rsid w:val="00BC0675"/>
    <w:rsid w:val="00BC0871"/>
    <w:rsid w:val="00BC4081"/>
    <w:rsid w:val="00BC48B2"/>
    <w:rsid w:val="00BC7DF8"/>
    <w:rsid w:val="00BC7F97"/>
    <w:rsid w:val="00BD23CB"/>
    <w:rsid w:val="00BD29B0"/>
    <w:rsid w:val="00BD3313"/>
    <w:rsid w:val="00BD50A6"/>
    <w:rsid w:val="00BD566B"/>
    <w:rsid w:val="00BD6067"/>
    <w:rsid w:val="00BD6B96"/>
    <w:rsid w:val="00BD702C"/>
    <w:rsid w:val="00BE00BE"/>
    <w:rsid w:val="00BE03F2"/>
    <w:rsid w:val="00BE0423"/>
    <w:rsid w:val="00BE3047"/>
    <w:rsid w:val="00BE3E74"/>
    <w:rsid w:val="00BE4821"/>
    <w:rsid w:val="00BE56A0"/>
    <w:rsid w:val="00BE60D5"/>
    <w:rsid w:val="00BE631B"/>
    <w:rsid w:val="00BF024D"/>
    <w:rsid w:val="00BF149E"/>
    <w:rsid w:val="00BF1626"/>
    <w:rsid w:val="00BF2CEE"/>
    <w:rsid w:val="00BF3040"/>
    <w:rsid w:val="00BF38D1"/>
    <w:rsid w:val="00BF3C4B"/>
    <w:rsid w:val="00BF5372"/>
    <w:rsid w:val="00BF553C"/>
    <w:rsid w:val="00C00D92"/>
    <w:rsid w:val="00C01E5C"/>
    <w:rsid w:val="00C05783"/>
    <w:rsid w:val="00C06658"/>
    <w:rsid w:val="00C13B18"/>
    <w:rsid w:val="00C174EC"/>
    <w:rsid w:val="00C176AF"/>
    <w:rsid w:val="00C17EF9"/>
    <w:rsid w:val="00C20B3B"/>
    <w:rsid w:val="00C24066"/>
    <w:rsid w:val="00C268EE"/>
    <w:rsid w:val="00C27800"/>
    <w:rsid w:val="00C301C2"/>
    <w:rsid w:val="00C30487"/>
    <w:rsid w:val="00C30745"/>
    <w:rsid w:val="00C30819"/>
    <w:rsid w:val="00C31A5C"/>
    <w:rsid w:val="00C321AF"/>
    <w:rsid w:val="00C34483"/>
    <w:rsid w:val="00C359A0"/>
    <w:rsid w:val="00C36259"/>
    <w:rsid w:val="00C36F36"/>
    <w:rsid w:val="00C42910"/>
    <w:rsid w:val="00C44E70"/>
    <w:rsid w:val="00C454F8"/>
    <w:rsid w:val="00C5030A"/>
    <w:rsid w:val="00C52B61"/>
    <w:rsid w:val="00C52FA8"/>
    <w:rsid w:val="00C55464"/>
    <w:rsid w:val="00C55483"/>
    <w:rsid w:val="00C5562F"/>
    <w:rsid w:val="00C55DBB"/>
    <w:rsid w:val="00C56319"/>
    <w:rsid w:val="00C60071"/>
    <w:rsid w:val="00C61932"/>
    <w:rsid w:val="00C61C9B"/>
    <w:rsid w:val="00C62C7D"/>
    <w:rsid w:val="00C62EA8"/>
    <w:rsid w:val="00C643B9"/>
    <w:rsid w:val="00C662CE"/>
    <w:rsid w:val="00C7086D"/>
    <w:rsid w:val="00C70B01"/>
    <w:rsid w:val="00C70E78"/>
    <w:rsid w:val="00C71D2A"/>
    <w:rsid w:val="00C728E0"/>
    <w:rsid w:val="00C7290A"/>
    <w:rsid w:val="00C7318E"/>
    <w:rsid w:val="00C735A2"/>
    <w:rsid w:val="00C74A37"/>
    <w:rsid w:val="00C74E75"/>
    <w:rsid w:val="00C75B69"/>
    <w:rsid w:val="00C75FF7"/>
    <w:rsid w:val="00C821A4"/>
    <w:rsid w:val="00C8224C"/>
    <w:rsid w:val="00C8290B"/>
    <w:rsid w:val="00C82C37"/>
    <w:rsid w:val="00C85F1D"/>
    <w:rsid w:val="00C90166"/>
    <w:rsid w:val="00C915D0"/>
    <w:rsid w:val="00C92CAB"/>
    <w:rsid w:val="00C92CCB"/>
    <w:rsid w:val="00C948C2"/>
    <w:rsid w:val="00C9552A"/>
    <w:rsid w:val="00C95F6F"/>
    <w:rsid w:val="00C97070"/>
    <w:rsid w:val="00C9734E"/>
    <w:rsid w:val="00C97E29"/>
    <w:rsid w:val="00CA0444"/>
    <w:rsid w:val="00CA19BB"/>
    <w:rsid w:val="00CA3F01"/>
    <w:rsid w:val="00CA50CB"/>
    <w:rsid w:val="00CA5788"/>
    <w:rsid w:val="00CA687E"/>
    <w:rsid w:val="00CA73C5"/>
    <w:rsid w:val="00CA7D1B"/>
    <w:rsid w:val="00CB0FBB"/>
    <w:rsid w:val="00CB17DF"/>
    <w:rsid w:val="00CB1A58"/>
    <w:rsid w:val="00CB1E13"/>
    <w:rsid w:val="00CB2A82"/>
    <w:rsid w:val="00CB4A23"/>
    <w:rsid w:val="00CB507F"/>
    <w:rsid w:val="00CB50A7"/>
    <w:rsid w:val="00CC1123"/>
    <w:rsid w:val="00CC2DF7"/>
    <w:rsid w:val="00CC50D2"/>
    <w:rsid w:val="00CC5630"/>
    <w:rsid w:val="00CD0950"/>
    <w:rsid w:val="00CD21F7"/>
    <w:rsid w:val="00CD57E8"/>
    <w:rsid w:val="00CD6C2C"/>
    <w:rsid w:val="00CD7064"/>
    <w:rsid w:val="00CE01EE"/>
    <w:rsid w:val="00CE0608"/>
    <w:rsid w:val="00CE0B07"/>
    <w:rsid w:val="00CE1470"/>
    <w:rsid w:val="00CE21FB"/>
    <w:rsid w:val="00CE246F"/>
    <w:rsid w:val="00CE4EF1"/>
    <w:rsid w:val="00CE58AB"/>
    <w:rsid w:val="00CE592B"/>
    <w:rsid w:val="00CE5AD8"/>
    <w:rsid w:val="00CE5E73"/>
    <w:rsid w:val="00CF015B"/>
    <w:rsid w:val="00CF02ED"/>
    <w:rsid w:val="00CF0D6A"/>
    <w:rsid w:val="00CF19FD"/>
    <w:rsid w:val="00CF2B80"/>
    <w:rsid w:val="00CF3E2F"/>
    <w:rsid w:val="00CF40B7"/>
    <w:rsid w:val="00CF6336"/>
    <w:rsid w:val="00CF701F"/>
    <w:rsid w:val="00D00FBB"/>
    <w:rsid w:val="00D03C28"/>
    <w:rsid w:val="00D0410C"/>
    <w:rsid w:val="00D10E4F"/>
    <w:rsid w:val="00D11369"/>
    <w:rsid w:val="00D11B52"/>
    <w:rsid w:val="00D12DE7"/>
    <w:rsid w:val="00D15191"/>
    <w:rsid w:val="00D20508"/>
    <w:rsid w:val="00D20A27"/>
    <w:rsid w:val="00D20D8C"/>
    <w:rsid w:val="00D21EF3"/>
    <w:rsid w:val="00D22307"/>
    <w:rsid w:val="00D232D8"/>
    <w:rsid w:val="00D23A7B"/>
    <w:rsid w:val="00D252E0"/>
    <w:rsid w:val="00D25FB9"/>
    <w:rsid w:val="00D266D6"/>
    <w:rsid w:val="00D27A29"/>
    <w:rsid w:val="00D30363"/>
    <w:rsid w:val="00D30A9D"/>
    <w:rsid w:val="00D30F17"/>
    <w:rsid w:val="00D324EB"/>
    <w:rsid w:val="00D3431B"/>
    <w:rsid w:val="00D3494C"/>
    <w:rsid w:val="00D34F72"/>
    <w:rsid w:val="00D350A7"/>
    <w:rsid w:val="00D365B5"/>
    <w:rsid w:val="00D379E1"/>
    <w:rsid w:val="00D37E65"/>
    <w:rsid w:val="00D43A09"/>
    <w:rsid w:val="00D43C12"/>
    <w:rsid w:val="00D47079"/>
    <w:rsid w:val="00D47750"/>
    <w:rsid w:val="00D47853"/>
    <w:rsid w:val="00D50B07"/>
    <w:rsid w:val="00D50C2F"/>
    <w:rsid w:val="00D5107C"/>
    <w:rsid w:val="00D5179C"/>
    <w:rsid w:val="00D51AFB"/>
    <w:rsid w:val="00D55A0C"/>
    <w:rsid w:val="00D56114"/>
    <w:rsid w:val="00D5676C"/>
    <w:rsid w:val="00D57362"/>
    <w:rsid w:val="00D576AE"/>
    <w:rsid w:val="00D63951"/>
    <w:rsid w:val="00D713BC"/>
    <w:rsid w:val="00D714B5"/>
    <w:rsid w:val="00D72A3D"/>
    <w:rsid w:val="00D77AED"/>
    <w:rsid w:val="00D77FDC"/>
    <w:rsid w:val="00D80F59"/>
    <w:rsid w:val="00D80F8C"/>
    <w:rsid w:val="00D82D11"/>
    <w:rsid w:val="00D8729F"/>
    <w:rsid w:val="00D87658"/>
    <w:rsid w:val="00D915A2"/>
    <w:rsid w:val="00D9206F"/>
    <w:rsid w:val="00D92505"/>
    <w:rsid w:val="00D9504B"/>
    <w:rsid w:val="00D9628E"/>
    <w:rsid w:val="00DA006D"/>
    <w:rsid w:val="00DA02E0"/>
    <w:rsid w:val="00DA2629"/>
    <w:rsid w:val="00DA2F22"/>
    <w:rsid w:val="00DA3349"/>
    <w:rsid w:val="00DA39D1"/>
    <w:rsid w:val="00DA616B"/>
    <w:rsid w:val="00DB21BD"/>
    <w:rsid w:val="00DB3851"/>
    <w:rsid w:val="00DB4365"/>
    <w:rsid w:val="00DB4AB9"/>
    <w:rsid w:val="00DB58E5"/>
    <w:rsid w:val="00DB6044"/>
    <w:rsid w:val="00DB7FA5"/>
    <w:rsid w:val="00DC00B4"/>
    <w:rsid w:val="00DC08D0"/>
    <w:rsid w:val="00DC0D9E"/>
    <w:rsid w:val="00DC38EC"/>
    <w:rsid w:val="00DC4981"/>
    <w:rsid w:val="00DC49BF"/>
    <w:rsid w:val="00DC4BBE"/>
    <w:rsid w:val="00DD09C1"/>
    <w:rsid w:val="00DD552C"/>
    <w:rsid w:val="00DD5758"/>
    <w:rsid w:val="00DD6227"/>
    <w:rsid w:val="00DD653C"/>
    <w:rsid w:val="00DD75B8"/>
    <w:rsid w:val="00DD760B"/>
    <w:rsid w:val="00DE09DB"/>
    <w:rsid w:val="00DE1335"/>
    <w:rsid w:val="00DE29FC"/>
    <w:rsid w:val="00DE4BEA"/>
    <w:rsid w:val="00DE616F"/>
    <w:rsid w:val="00DF12A7"/>
    <w:rsid w:val="00DF336A"/>
    <w:rsid w:val="00DF4383"/>
    <w:rsid w:val="00DF4B70"/>
    <w:rsid w:val="00DF563A"/>
    <w:rsid w:val="00DF6FE9"/>
    <w:rsid w:val="00DF77DE"/>
    <w:rsid w:val="00E00622"/>
    <w:rsid w:val="00E0101A"/>
    <w:rsid w:val="00E02314"/>
    <w:rsid w:val="00E03823"/>
    <w:rsid w:val="00E03C87"/>
    <w:rsid w:val="00E07D73"/>
    <w:rsid w:val="00E10C8F"/>
    <w:rsid w:val="00E111E6"/>
    <w:rsid w:val="00E13766"/>
    <w:rsid w:val="00E139C5"/>
    <w:rsid w:val="00E14783"/>
    <w:rsid w:val="00E14BDC"/>
    <w:rsid w:val="00E14E66"/>
    <w:rsid w:val="00E15443"/>
    <w:rsid w:val="00E154D5"/>
    <w:rsid w:val="00E157BF"/>
    <w:rsid w:val="00E16ED7"/>
    <w:rsid w:val="00E17F55"/>
    <w:rsid w:val="00E2043C"/>
    <w:rsid w:val="00E2318E"/>
    <w:rsid w:val="00E24372"/>
    <w:rsid w:val="00E243A0"/>
    <w:rsid w:val="00E2571D"/>
    <w:rsid w:val="00E25B33"/>
    <w:rsid w:val="00E25D0D"/>
    <w:rsid w:val="00E25EB1"/>
    <w:rsid w:val="00E26739"/>
    <w:rsid w:val="00E3078F"/>
    <w:rsid w:val="00E32008"/>
    <w:rsid w:val="00E32D45"/>
    <w:rsid w:val="00E32E74"/>
    <w:rsid w:val="00E348DC"/>
    <w:rsid w:val="00E354AE"/>
    <w:rsid w:val="00E40037"/>
    <w:rsid w:val="00E4137C"/>
    <w:rsid w:val="00E41474"/>
    <w:rsid w:val="00E41A99"/>
    <w:rsid w:val="00E43EBD"/>
    <w:rsid w:val="00E43F0E"/>
    <w:rsid w:val="00E44E0D"/>
    <w:rsid w:val="00E478B9"/>
    <w:rsid w:val="00E50E50"/>
    <w:rsid w:val="00E51400"/>
    <w:rsid w:val="00E521D3"/>
    <w:rsid w:val="00E5220A"/>
    <w:rsid w:val="00E55A8E"/>
    <w:rsid w:val="00E56BA6"/>
    <w:rsid w:val="00E5732C"/>
    <w:rsid w:val="00E57BB1"/>
    <w:rsid w:val="00E57CD9"/>
    <w:rsid w:val="00E60C53"/>
    <w:rsid w:val="00E618CF"/>
    <w:rsid w:val="00E6200C"/>
    <w:rsid w:val="00E62ECE"/>
    <w:rsid w:val="00E646B6"/>
    <w:rsid w:val="00E64E65"/>
    <w:rsid w:val="00E717FC"/>
    <w:rsid w:val="00E73120"/>
    <w:rsid w:val="00E73FC4"/>
    <w:rsid w:val="00E7490B"/>
    <w:rsid w:val="00E755CF"/>
    <w:rsid w:val="00E75BD5"/>
    <w:rsid w:val="00E76C5D"/>
    <w:rsid w:val="00E82DB2"/>
    <w:rsid w:val="00E83249"/>
    <w:rsid w:val="00E8394B"/>
    <w:rsid w:val="00E85524"/>
    <w:rsid w:val="00E85A3D"/>
    <w:rsid w:val="00E85F3B"/>
    <w:rsid w:val="00E86430"/>
    <w:rsid w:val="00E86432"/>
    <w:rsid w:val="00E870FE"/>
    <w:rsid w:val="00E87592"/>
    <w:rsid w:val="00E87B6B"/>
    <w:rsid w:val="00E90467"/>
    <w:rsid w:val="00E94455"/>
    <w:rsid w:val="00E9530C"/>
    <w:rsid w:val="00E95318"/>
    <w:rsid w:val="00E9586A"/>
    <w:rsid w:val="00EA1567"/>
    <w:rsid w:val="00EA4ABE"/>
    <w:rsid w:val="00EA5580"/>
    <w:rsid w:val="00EA780B"/>
    <w:rsid w:val="00EB259C"/>
    <w:rsid w:val="00EB4DD8"/>
    <w:rsid w:val="00EB6881"/>
    <w:rsid w:val="00EB6984"/>
    <w:rsid w:val="00EB73A3"/>
    <w:rsid w:val="00EC0510"/>
    <w:rsid w:val="00EC09E6"/>
    <w:rsid w:val="00EC256B"/>
    <w:rsid w:val="00EC2F22"/>
    <w:rsid w:val="00EC443B"/>
    <w:rsid w:val="00EC448C"/>
    <w:rsid w:val="00EC51CF"/>
    <w:rsid w:val="00EC5AEA"/>
    <w:rsid w:val="00EC5C50"/>
    <w:rsid w:val="00ED14CC"/>
    <w:rsid w:val="00ED1AE9"/>
    <w:rsid w:val="00ED2EF3"/>
    <w:rsid w:val="00ED5D49"/>
    <w:rsid w:val="00ED6971"/>
    <w:rsid w:val="00ED7D3F"/>
    <w:rsid w:val="00EE0D5D"/>
    <w:rsid w:val="00EE632E"/>
    <w:rsid w:val="00EE7674"/>
    <w:rsid w:val="00EE78E8"/>
    <w:rsid w:val="00EF1BD3"/>
    <w:rsid w:val="00EF1C62"/>
    <w:rsid w:val="00EF2E2A"/>
    <w:rsid w:val="00EF3597"/>
    <w:rsid w:val="00EF3F4E"/>
    <w:rsid w:val="00EF56C3"/>
    <w:rsid w:val="00EF5AEA"/>
    <w:rsid w:val="00EF79E4"/>
    <w:rsid w:val="00EF7F3C"/>
    <w:rsid w:val="00F00192"/>
    <w:rsid w:val="00F00BEF"/>
    <w:rsid w:val="00F02685"/>
    <w:rsid w:val="00F02DB3"/>
    <w:rsid w:val="00F04E88"/>
    <w:rsid w:val="00F05F1A"/>
    <w:rsid w:val="00F0616B"/>
    <w:rsid w:val="00F063AB"/>
    <w:rsid w:val="00F07FE4"/>
    <w:rsid w:val="00F100CE"/>
    <w:rsid w:val="00F108BA"/>
    <w:rsid w:val="00F12789"/>
    <w:rsid w:val="00F14637"/>
    <w:rsid w:val="00F14994"/>
    <w:rsid w:val="00F2017F"/>
    <w:rsid w:val="00F206D1"/>
    <w:rsid w:val="00F206E4"/>
    <w:rsid w:val="00F20FA6"/>
    <w:rsid w:val="00F22425"/>
    <w:rsid w:val="00F226C0"/>
    <w:rsid w:val="00F23AE9"/>
    <w:rsid w:val="00F251CF"/>
    <w:rsid w:val="00F2631A"/>
    <w:rsid w:val="00F2709C"/>
    <w:rsid w:val="00F3289F"/>
    <w:rsid w:val="00F33414"/>
    <w:rsid w:val="00F33B10"/>
    <w:rsid w:val="00F34882"/>
    <w:rsid w:val="00F34B31"/>
    <w:rsid w:val="00F34D16"/>
    <w:rsid w:val="00F34FE5"/>
    <w:rsid w:val="00F36AA2"/>
    <w:rsid w:val="00F42C43"/>
    <w:rsid w:val="00F43AC3"/>
    <w:rsid w:val="00F440A4"/>
    <w:rsid w:val="00F44830"/>
    <w:rsid w:val="00F4623D"/>
    <w:rsid w:val="00F50D9E"/>
    <w:rsid w:val="00F51430"/>
    <w:rsid w:val="00F51DC2"/>
    <w:rsid w:val="00F52D8D"/>
    <w:rsid w:val="00F533CE"/>
    <w:rsid w:val="00F57843"/>
    <w:rsid w:val="00F6084A"/>
    <w:rsid w:val="00F60C6D"/>
    <w:rsid w:val="00F614B1"/>
    <w:rsid w:val="00F61773"/>
    <w:rsid w:val="00F6184B"/>
    <w:rsid w:val="00F61B2E"/>
    <w:rsid w:val="00F6424F"/>
    <w:rsid w:val="00F6559A"/>
    <w:rsid w:val="00F66896"/>
    <w:rsid w:val="00F66E1D"/>
    <w:rsid w:val="00F727DC"/>
    <w:rsid w:val="00F7325A"/>
    <w:rsid w:val="00F746B8"/>
    <w:rsid w:val="00F74C76"/>
    <w:rsid w:val="00F74DE2"/>
    <w:rsid w:val="00F75151"/>
    <w:rsid w:val="00F75264"/>
    <w:rsid w:val="00F76ADD"/>
    <w:rsid w:val="00F76D99"/>
    <w:rsid w:val="00F77566"/>
    <w:rsid w:val="00F7794B"/>
    <w:rsid w:val="00F779D0"/>
    <w:rsid w:val="00F81B5F"/>
    <w:rsid w:val="00F81D38"/>
    <w:rsid w:val="00F820BB"/>
    <w:rsid w:val="00F825A1"/>
    <w:rsid w:val="00F82E44"/>
    <w:rsid w:val="00F8608E"/>
    <w:rsid w:val="00F86276"/>
    <w:rsid w:val="00F8783E"/>
    <w:rsid w:val="00F87CB2"/>
    <w:rsid w:val="00F904ED"/>
    <w:rsid w:val="00F90A26"/>
    <w:rsid w:val="00F90F9F"/>
    <w:rsid w:val="00F91C5B"/>
    <w:rsid w:val="00F92B12"/>
    <w:rsid w:val="00F93DAE"/>
    <w:rsid w:val="00F9785D"/>
    <w:rsid w:val="00F97BEB"/>
    <w:rsid w:val="00FA0B22"/>
    <w:rsid w:val="00FA2363"/>
    <w:rsid w:val="00FA2921"/>
    <w:rsid w:val="00FA2D19"/>
    <w:rsid w:val="00FA3030"/>
    <w:rsid w:val="00FA598D"/>
    <w:rsid w:val="00FB1430"/>
    <w:rsid w:val="00FB2A3F"/>
    <w:rsid w:val="00FB37D6"/>
    <w:rsid w:val="00FB5DC3"/>
    <w:rsid w:val="00FB5EDE"/>
    <w:rsid w:val="00FB759E"/>
    <w:rsid w:val="00FC064C"/>
    <w:rsid w:val="00FC1193"/>
    <w:rsid w:val="00FC15D1"/>
    <w:rsid w:val="00FC169C"/>
    <w:rsid w:val="00FC17F4"/>
    <w:rsid w:val="00FC1807"/>
    <w:rsid w:val="00FC1960"/>
    <w:rsid w:val="00FC1B20"/>
    <w:rsid w:val="00FC2449"/>
    <w:rsid w:val="00FC3187"/>
    <w:rsid w:val="00FC4381"/>
    <w:rsid w:val="00FC589C"/>
    <w:rsid w:val="00FC60D6"/>
    <w:rsid w:val="00FD0343"/>
    <w:rsid w:val="00FD17CD"/>
    <w:rsid w:val="00FE0180"/>
    <w:rsid w:val="00FE31BA"/>
    <w:rsid w:val="00FE40D8"/>
    <w:rsid w:val="00FE637F"/>
    <w:rsid w:val="00FE6D18"/>
    <w:rsid w:val="00FE77A9"/>
    <w:rsid w:val="00FF2AC6"/>
    <w:rsid w:val="00FF335E"/>
    <w:rsid w:val="00FF4628"/>
    <w:rsid w:val="00FF7B17"/>
    <w:rsid w:val="00FF7F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50F8A"/>
  <w15:chartTrackingRefBased/>
  <w15:docId w15:val="{F6892134-62E7-4B58-A66A-EBF7BAE3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DA"/>
    <w:pPr>
      <w:spacing w:after="0" w:line="240" w:lineRule="auto"/>
    </w:pPr>
    <w:rPr>
      <w:rFonts w:ascii="Times New Roman" w:eastAsia="Times New Roman" w:hAnsi="Times New Roman" w:cs="Times New Roman"/>
      <w:sz w:val="24"/>
      <w:szCs w:val="20"/>
      <w:lang w:val="en-GB" w:eastAsia="en-AU"/>
    </w:rPr>
  </w:style>
  <w:style w:type="paragraph" w:styleId="Heading1">
    <w:name w:val="heading 1"/>
    <w:basedOn w:val="Normal"/>
    <w:next w:val="Normal"/>
    <w:link w:val="Heading1Char"/>
    <w:uiPriority w:val="9"/>
    <w:qFormat/>
    <w:rsid w:val="006423D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3DA"/>
    <w:rPr>
      <w:rFonts w:asciiTheme="majorHAnsi" w:eastAsiaTheme="majorEastAsia" w:hAnsiTheme="majorHAnsi" w:cstheme="majorBidi"/>
      <w:color w:val="2F5496" w:themeColor="accent1" w:themeShade="BF"/>
      <w:sz w:val="32"/>
      <w:szCs w:val="32"/>
      <w:lang w:val="en-GB" w:eastAsia="en-AU"/>
    </w:rPr>
  </w:style>
  <w:style w:type="paragraph" w:styleId="Header">
    <w:name w:val="header"/>
    <w:basedOn w:val="Normal"/>
    <w:link w:val="HeaderChar"/>
    <w:uiPriority w:val="99"/>
    <w:unhideWhenUsed/>
    <w:rsid w:val="006423DA"/>
    <w:pPr>
      <w:tabs>
        <w:tab w:val="center" w:pos="4320"/>
        <w:tab w:val="right" w:pos="8640"/>
      </w:tabs>
    </w:pPr>
  </w:style>
  <w:style w:type="character" w:customStyle="1" w:styleId="HeaderChar">
    <w:name w:val="Header Char"/>
    <w:basedOn w:val="DefaultParagraphFont"/>
    <w:link w:val="Header"/>
    <w:uiPriority w:val="99"/>
    <w:rsid w:val="006423DA"/>
    <w:rPr>
      <w:rFonts w:ascii="Times New Roman" w:eastAsia="Times New Roman" w:hAnsi="Times New Roman" w:cs="Times New Roman"/>
      <w:sz w:val="24"/>
      <w:szCs w:val="20"/>
      <w:lang w:val="en-GB" w:eastAsia="en-AU"/>
    </w:rPr>
  </w:style>
  <w:style w:type="paragraph" w:styleId="Footer">
    <w:name w:val="footer"/>
    <w:basedOn w:val="Normal"/>
    <w:link w:val="FooterChar"/>
    <w:uiPriority w:val="99"/>
    <w:unhideWhenUsed/>
    <w:rsid w:val="006423DA"/>
    <w:pPr>
      <w:tabs>
        <w:tab w:val="center" w:pos="4320"/>
        <w:tab w:val="right" w:pos="8640"/>
      </w:tabs>
    </w:pPr>
  </w:style>
  <w:style w:type="character" w:customStyle="1" w:styleId="FooterChar">
    <w:name w:val="Footer Char"/>
    <w:basedOn w:val="DefaultParagraphFont"/>
    <w:link w:val="Footer"/>
    <w:uiPriority w:val="99"/>
    <w:rsid w:val="006423DA"/>
    <w:rPr>
      <w:rFonts w:ascii="Times New Roman" w:eastAsia="Times New Roman" w:hAnsi="Times New Roman" w:cs="Times New Roman"/>
      <w:sz w:val="24"/>
      <w:szCs w:val="20"/>
      <w:lang w:val="en-GB" w:eastAsia="en-AU"/>
    </w:rPr>
  </w:style>
  <w:style w:type="character" w:styleId="Hyperlink">
    <w:name w:val="Hyperlink"/>
    <w:rsid w:val="006423DA"/>
    <w:rPr>
      <w:color w:val="0000FF"/>
      <w:u w:val="single"/>
    </w:rPr>
  </w:style>
  <w:style w:type="paragraph" w:styleId="ListParagraph">
    <w:name w:val="List Paragraph"/>
    <w:basedOn w:val="Normal"/>
    <w:uiPriority w:val="34"/>
    <w:qFormat/>
    <w:rsid w:val="006423DA"/>
    <w:pPr>
      <w:ind w:left="720"/>
    </w:pPr>
  </w:style>
  <w:style w:type="character" w:styleId="CommentReference">
    <w:name w:val="annotation reference"/>
    <w:basedOn w:val="DefaultParagraphFont"/>
    <w:uiPriority w:val="99"/>
    <w:semiHidden/>
    <w:unhideWhenUsed/>
    <w:rsid w:val="006423DA"/>
    <w:rPr>
      <w:sz w:val="16"/>
      <w:szCs w:val="16"/>
    </w:rPr>
  </w:style>
  <w:style w:type="paragraph" w:styleId="CommentText">
    <w:name w:val="annotation text"/>
    <w:basedOn w:val="Normal"/>
    <w:link w:val="CommentTextChar"/>
    <w:uiPriority w:val="99"/>
    <w:unhideWhenUsed/>
    <w:rsid w:val="006423DA"/>
    <w:rPr>
      <w:sz w:val="20"/>
    </w:rPr>
  </w:style>
  <w:style w:type="character" w:customStyle="1" w:styleId="CommentTextChar">
    <w:name w:val="Comment Text Char"/>
    <w:basedOn w:val="DefaultParagraphFont"/>
    <w:link w:val="CommentText"/>
    <w:uiPriority w:val="99"/>
    <w:rsid w:val="006423DA"/>
    <w:rPr>
      <w:rFonts w:ascii="Times New Roman" w:eastAsia="Times New Roman" w:hAnsi="Times New Roman" w:cs="Times New Roman"/>
      <w:sz w:val="20"/>
      <w:szCs w:val="20"/>
      <w:lang w:val="en-GB" w:eastAsia="en-AU"/>
    </w:rPr>
  </w:style>
  <w:style w:type="paragraph" w:styleId="FootnoteText">
    <w:name w:val="footnote text"/>
    <w:basedOn w:val="Normal"/>
    <w:link w:val="FootnoteTextChar"/>
    <w:uiPriority w:val="99"/>
    <w:unhideWhenUsed/>
    <w:rsid w:val="006423DA"/>
    <w:rPr>
      <w:sz w:val="20"/>
    </w:rPr>
  </w:style>
  <w:style w:type="character" w:customStyle="1" w:styleId="FootnoteTextChar">
    <w:name w:val="Footnote Text Char"/>
    <w:basedOn w:val="DefaultParagraphFont"/>
    <w:link w:val="FootnoteText"/>
    <w:uiPriority w:val="99"/>
    <w:rsid w:val="006423DA"/>
    <w:rPr>
      <w:rFonts w:ascii="Times New Roman" w:eastAsia="Times New Roman" w:hAnsi="Times New Roman" w:cs="Times New Roman"/>
      <w:sz w:val="20"/>
      <w:szCs w:val="20"/>
      <w:lang w:val="en-GB" w:eastAsia="en-AU"/>
    </w:rPr>
  </w:style>
  <w:style w:type="character" w:styleId="FootnoteReference">
    <w:name w:val="footnote reference"/>
    <w:basedOn w:val="DefaultParagraphFont"/>
    <w:uiPriority w:val="99"/>
    <w:semiHidden/>
    <w:unhideWhenUsed/>
    <w:rsid w:val="006423DA"/>
    <w:rPr>
      <w:vertAlign w:val="superscript"/>
    </w:rPr>
  </w:style>
  <w:style w:type="paragraph" w:styleId="CommentSubject">
    <w:name w:val="annotation subject"/>
    <w:basedOn w:val="CommentText"/>
    <w:next w:val="CommentText"/>
    <w:link w:val="CommentSubjectChar"/>
    <w:uiPriority w:val="99"/>
    <w:semiHidden/>
    <w:unhideWhenUsed/>
    <w:rsid w:val="005B7465"/>
    <w:rPr>
      <w:b/>
      <w:bCs/>
    </w:rPr>
  </w:style>
  <w:style w:type="character" w:customStyle="1" w:styleId="CommentSubjectChar">
    <w:name w:val="Comment Subject Char"/>
    <w:basedOn w:val="CommentTextChar"/>
    <w:link w:val="CommentSubject"/>
    <w:uiPriority w:val="99"/>
    <w:semiHidden/>
    <w:rsid w:val="005B7465"/>
    <w:rPr>
      <w:rFonts w:ascii="Times New Roman" w:eastAsia="Times New Roman" w:hAnsi="Times New Roman" w:cs="Times New Roman"/>
      <w:b/>
      <w:bCs/>
      <w:sz w:val="20"/>
      <w:szCs w:val="20"/>
      <w:lang w:val="en-GB" w:eastAsia="en-AU"/>
    </w:rPr>
  </w:style>
  <w:style w:type="paragraph" w:customStyle="1" w:styleId="Default">
    <w:name w:val="Default"/>
    <w:rsid w:val="001773A7"/>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A0B6F"/>
    <w:rPr>
      <w:color w:val="605E5C"/>
      <w:shd w:val="clear" w:color="auto" w:fill="E1DFDD"/>
    </w:rPr>
  </w:style>
  <w:style w:type="character" w:styleId="FollowedHyperlink">
    <w:name w:val="FollowedHyperlink"/>
    <w:basedOn w:val="DefaultParagraphFont"/>
    <w:uiPriority w:val="99"/>
    <w:semiHidden/>
    <w:unhideWhenUsed/>
    <w:rsid w:val="0045250E"/>
    <w:rPr>
      <w:color w:val="954F72" w:themeColor="followedHyperlink"/>
      <w:u w:val="single"/>
    </w:rPr>
  </w:style>
  <w:style w:type="character" w:customStyle="1" w:styleId="c11">
    <w:name w:val="c11"/>
    <w:basedOn w:val="DefaultParagraphFont"/>
    <w:rsid w:val="009F7EB1"/>
  </w:style>
  <w:style w:type="character" w:customStyle="1" w:styleId="c2">
    <w:name w:val="c2"/>
    <w:basedOn w:val="DefaultParagraphFont"/>
    <w:rsid w:val="009F7EB1"/>
  </w:style>
  <w:style w:type="paragraph" w:styleId="Revision">
    <w:name w:val="Revision"/>
    <w:hidden/>
    <w:uiPriority w:val="99"/>
    <w:semiHidden/>
    <w:rsid w:val="000220C6"/>
    <w:pPr>
      <w:spacing w:after="0" w:line="240" w:lineRule="auto"/>
    </w:pPr>
    <w:rPr>
      <w:rFonts w:ascii="Times New Roman" w:eastAsia="Times New Roman" w:hAnsi="Times New Roman" w:cs="Times New Roman"/>
      <w:sz w:val="24"/>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14367">
      <w:bodyDiv w:val="1"/>
      <w:marLeft w:val="0"/>
      <w:marRight w:val="0"/>
      <w:marTop w:val="0"/>
      <w:marBottom w:val="0"/>
      <w:divBdr>
        <w:top w:val="none" w:sz="0" w:space="0" w:color="auto"/>
        <w:left w:val="none" w:sz="0" w:space="0" w:color="auto"/>
        <w:bottom w:val="none" w:sz="0" w:space="0" w:color="auto"/>
        <w:right w:val="none" w:sz="0" w:space="0" w:color="auto"/>
      </w:divBdr>
    </w:div>
    <w:div w:id="570654243">
      <w:bodyDiv w:val="1"/>
      <w:marLeft w:val="0"/>
      <w:marRight w:val="0"/>
      <w:marTop w:val="0"/>
      <w:marBottom w:val="0"/>
      <w:divBdr>
        <w:top w:val="none" w:sz="0" w:space="0" w:color="auto"/>
        <w:left w:val="none" w:sz="0" w:space="0" w:color="auto"/>
        <w:bottom w:val="none" w:sz="0" w:space="0" w:color="auto"/>
        <w:right w:val="none" w:sz="0" w:space="0" w:color="auto"/>
      </w:divBdr>
    </w:div>
    <w:div w:id="156198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nc.gov.au/for-charities/manage-your-charity/governance-hub/acnc-external-conduct-standards/self-evalua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nc.gov.au/for-charities/start-charity/you-start-charit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acnc.gov.au/tools/guidance/commissioners-interpretation-statements/meaning-government-enti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6A936333C89C4AB857BC97A53B6854" ma:contentTypeVersion="10" ma:contentTypeDescription="Create a new document." ma:contentTypeScope="" ma:versionID="91ae41fe9f11e168ddac8796f62a33d2">
  <xsd:schema xmlns:xsd="http://www.w3.org/2001/XMLSchema" xmlns:xs="http://www.w3.org/2001/XMLSchema" xmlns:p="http://schemas.microsoft.com/office/2006/metadata/properties" xmlns:ns2="6b11be20-5ade-4946-a6d2-e28a8fc5d6d0" targetNamespace="http://schemas.microsoft.com/office/2006/metadata/properties" ma:root="true" ma:fieldsID="b73f5477a4e67228dc48a73d3202d959" ns2:_="">
    <xsd:import namespace="6b11be20-5ade-4946-a6d2-e28a8fc5d6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1be20-5ade-4946-a6d2-e28a8fc5d6d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72734-1C82-4F43-B3C7-2EB6B55408F3}">
  <ds:schemaRefs>
    <ds:schemaRef ds:uri="http://schemas.openxmlformats.org/officeDocument/2006/bibliography"/>
  </ds:schemaRefs>
</ds:datastoreItem>
</file>

<file path=customXml/itemProps2.xml><?xml version="1.0" encoding="utf-8"?>
<ds:datastoreItem xmlns:ds="http://schemas.openxmlformats.org/officeDocument/2006/customXml" ds:itemID="{666FEF7E-590A-4EA6-B43A-1BA7C28E1C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24C1DA-3AD3-455D-8F65-2CC87A495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1be20-5ade-4946-a6d2-e28a8fc5d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1D9EB-1D77-4250-B099-DF3F181B3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4907</Words>
  <Characters>27976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Bennett</dc:creator>
  <cp:keywords/>
  <dc:description/>
  <cp:lastModifiedBy>Nicola Bennett</cp:lastModifiedBy>
  <cp:revision>4</cp:revision>
  <dcterms:created xsi:type="dcterms:W3CDTF">2022-06-09T06:36:00Z</dcterms:created>
  <dcterms:modified xsi:type="dcterms:W3CDTF">2022-06-09T06:45:00Z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#ff0000,10,Calibri</vt:lpwstr>
  </property>
  <property fmtid="{D5CDD505-2E9C-101B-9397-08002B2CF9AE}" pid="4" name="ClassificationContentMarkingHeaderText">
    <vt:lpwstr>OFFICIAL Sensitive</vt:lpwstr>
  </property>
  <property fmtid="{D5CDD505-2E9C-101B-9397-08002B2CF9AE}" pid="5" name="ClassificationContentMarkingFooterShapeIds">
    <vt:lpwstr>4,5,6</vt:lpwstr>
  </property>
  <property fmtid="{D5CDD505-2E9C-101B-9397-08002B2CF9AE}" pid="6" name="ClassificationContentMarkingFooterFontProps">
    <vt:lpwstr>#ff0000,10,Calibri</vt:lpwstr>
  </property>
  <property fmtid="{D5CDD505-2E9C-101B-9397-08002B2CF9AE}" pid="7" name="ClassificationContentMarkingFooterText">
    <vt:lpwstr>OFFICIAL Sensitive</vt:lpwstr>
  </property>
  <property fmtid="{D5CDD505-2E9C-101B-9397-08002B2CF9AE}" pid="8" name="MSIP_Label_eefc3127-7748-46ce-8e27-b3d626206651_Enabled">
    <vt:lpwstr>true</vt:lpwstr>
  </property>
  <property fmtid="{D5CDD505-2E9C-101B-9397-08002B2CF9AE}" pid="9" name="MSIP_Label_eefc3127-7748-46ce-8e27-b3d626206651_SetDate">
    <vt:lpwstr>2022-03-31T21:50:57Z</vt:lpwstr>
  </property>
  <property fmtid="{D5CDD505-2E9C-101B-9397-08002B2CF9AE}" pid="10" name="MSIP_Label_eefc3127-7748-46ce-8e27-b3d626206651_Method">
    <vt:lpwstr>Privileged</vt:lpwstr>
  </property>
  <property fmtid="{D5CDD505-2E9C-101B-9397-08002B2CF9AE}" pid="11" name="MSIP_Label_eefc3127-7748-46ce-8e27-b3d626206651_Name">
    <vt:lpwstr>OFFICIAL-Sensitive</vt:lpwstr>
  </property>
  <property fmtid="{D5CDD505-2E9C-101B-9397-08002B2CF9AE}" pid="12" name="MSIP_Label_eefc3127-7748-46ce-8e27-b3d626206651_SiteId">
    <vt:lpwstr>934ddd5c-a4ff-4d51-9e15-6d3e3e2df493</vt:lpwstr>
  </property>
  <property fmtid="{D5CDD505-2E9C-101B-9397-08002B2CF9AE}" pid="13" name="MSIP_Label_eefc3127-7748-46ce-8e27-b3d626206651_ActionId">
    <vt:lpwstr>ab953c5d-f689-41da-b191-53f04056b353</vt:lpwstr>
  </property>
  <property fmtid="{D5CDD505-2E9C-101B-9397-08002B2CF9AE}" pid="14" name="MSIP_Label_eefc3127-7748-46ce-8e27-b3d626206651_ContentBits">
    <vt:lpwstr>3</vt:lpwstr>
  </property>
  <property fmtid="{D5CDD505-2E9C-101B-9397-08002B2CF9AE}" pid="15" name="ContentTypeId">
    <vt:lpwstr>0x010100656A936333C89C4AB857BC97A53B6854</vt:lpwstr>
  </property>
</Properties>
</file>