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43643C" w14:paraId="4353EF2D" w14:textId="77777777" w:rsidTr="00E53474">
        <w:tc>
          <w:tcPr>
            <w:tcW w:w="9630" w:type="dxa"/>
          </w:tcPr>
          <w:p w14:paraId="4A0C0860" w14:textId="75F39DDD" w:rsidR="0043643C" w:rsidRDefault="0043643C" w:rsidP="00691761">
            <w:pPr>
              <w:pStyle w:val="Title"/>
            </w:pPr>
            <w:r>
              <w:t xml:space="preserve">Template constitution for companies limited by guarantee </w:t>
            </w:r>
            <w:r w:rsidR="00DA5E46">
              <w:t>–</w:t>
            </w:r>
            <w:r>
              <w:t xml:space="preserve"> </w:t>
            </w:r>
            <w:r w:rsidR="00953004">
              <w:t>Consultation</w:t>
            </w:r>
            <w:r w:rsidR="00DA5E46">
              <w:t xml:space="preserve"> </w:t>
            </w:r>
            <w:r>
              <w:t xml:space="preserve">Paper </w:t>
            </w:r>
          </w:p>
        </w:tc>
      </w:tr>
    </w:tbl>
    <w:p w14:paraId="327C4DAA" w14:textId="3C70A098" w:rsidR="00133224" w:rsidRDefault="000E0207" w:rsidP="00966F78">
      <w:pPr>
        <w:pStyle w:val="Heading1"/>
      </w:pPr>
      <w:r>
        <w:t xml:space="preserve">Introduction </w:t>
      </w:r>
    </w:p>
    <w:p w14:paraId="215F92CA" w14:textId="3ACBBCF1" w:rsidR="001F456C" w:rsidRDefault="00A12FD0" w:rsidP="001F456C">
      <w:pPr>
        <w:pStyle w:val="NoSpacing"/>
      </w:pPr>
      <w:r>
        <w:t xml:space="preserve">Many not-for-profit organisations and charities choose </w:t>
      </w:r>
      <w:r w:rsidR="002D23AA">
        <w:t xml:space="preserve">to incorporate as </w:t>
      </w:r>
      <w:r>
        <w:t>compan</w:t>
      </w:r>
      <w:r w:rsidR="002D23AA">
        <w:t xml:space="preserve">ies </w:t>
      </w:r>
      <w:r>
        <w:t xml:space="preserve">limited by guarantee </w:t>
      </w:r>
      <w:r w:rsidR="00132B7A">
        <w:t>(</w:t>
      </w:r>
      <w:r w:rsidR="00132B7A" w:rsidRPr="00855C74">
        <w:t>CLG</w:t>
      </w:r>
      <w:r w:rsidR="00132B7A">
        <w:t xml:space="preserve">) </w:t>
      </w:r>
      <w:r w:rsidR="00D273BD">
        <w:t>u</w:t>
      </w:r>
      <w:r w:rsidR="00CB20AD">
        <w:t xml:space="preserve">nder the </w:t>
      </w:r>
      <w:r w:rsidR="00CB20AD" w:rsidRPr="00CB20AD">
        <w:rPr>
          <w:i/>
          <w:iCs/>
        </w:rPr>
        <w:t>Corporations Act 2001</w:t>
      </w:r>
      <w:r w:rsidR="00CB20AD">
        <w:t xml:space="preserve"> (Cth) (Corporations Act</w:t>
      </w:r>
      <w:r w:rsidR="00A80A43">
        <w:t xml:space="preserve">). </w:t>
      </w:r>
      <w:r w:rsidR="002D23AA">
        <w:t>These companies must comply with the requirements of the Corporations Act</w:t>
      </w:r>
      <w:r w:rsidR="000D49BB">
        <w:t>. F</w:t>
      </w:r>
      <w:r w:rsidR="002D23AA">
        <w:t xml:space="preserve">or </w:t>
      </w:r>
      <w:r w:rsidR="00DE1953">
        <w:t xml:space="preserve">CLGs which are registered charities under the </w:t>
      </w:r>
      <w:r w:rsidR="00A80A43" w:rsidRPr="00290E29">
        <w:rPr>
          <w:i/>
          <w:iCs/>
        </w:rPr>
        <w:t>Australian Charities and Not-for-profits Commission Act 2012</w:t>
      </w:r>
      <w:r w:rsidR="00A80A43">
        <w:t xml:space="preserve"> (Cth) </w:t>
      </w:r>
      <w:r w:rsidR="002D23AA">
        <w:t>(ACNC Act)</w:t>
      </w:r>
      <w:r w:rsidR="00734858">
        <w:t xml:space="preserve">, some provisions of the Corporations Act are turned off. </w:t>
      </w:r>
      <w:r w:rsidR="00BF6186">
        <w:t xml:space="preserve">This can be a confusing </w:t>
      </w:r>
      <w:r w:rsidR="00C062F0">
        <w:t>regime to navigate</w:t>
      </w:r>
      <w:r w:rsidR="00EA5422">
        <w:t xml:space="preserve"> for companies which are registered charities. </w:t>
      </w:r>
    </w:p>
    <w:p w14:paraId="4665598E" w14:textId="0B624B12" w:rsidR="00734858" w:rsidRDefault="00855C74" w:rsidP="00855C74">
      <w:pPr>
        <w:pStyle w:val="NoSpacing"/>
        <w:tabs>
          <w:tab w:val="left" w:pos="2530"/>
        </w:tabs>
      </w:pPr>
      <w:r>
        <w:tab/>
      </w:r>
    </w:p>
    <w:p w14:paraId="08299455" w14:textId="4B1D9FFD" w:rsidR="00734858" w:rsidRDefault="00360C63" w:rsidP="001F456C">
      <w:pPr>
        <w:pStyle w:val="NoSpacing"/>
      </w:pPr>
      <w:r>
        <w:t xml:space="preserve">As part of our work to support and sustain a robust, vibrant Australian charity sector, </w:t>
      </w:r>
      <w:r w:rsidR="00211A5A">
        <w:t xml:space="preserve">we have available on our website a free template constitution for CLGs. We have been reviewing this document to ensure that it is fit-for-purpose and accessible.  </w:t>
      </w:r>
    </w:p>
    <w:p w14:paraId="0C3C7A49" w14:textId="3425FBF1" w:rsidR="001F456C" w:rsidRDefault="001F456C" w:rsidP="001F456C">
      <w:pPr>
        <w:pStyle w:val="NoSpacing"/>
      </w:pPr>
    </w:p>
    <w:p w14:paraId="15B85737" w14:textId="581D2D16" w:rsidR="00667B7C" w:rsidRDefault="009D3269" w:rsidP="001F456C">
      <w:pPr>
        <w:pStyle w:val="NoSpacing"/>
      </w:pPr>
      <w:r>
        <w:t xml:space="preserve">We </w:t>
      </w:r>
      <w:r w:rsidR="009965D9">
        <w:t>invite feedback on the draft template constitution for CLGs</w:t>
      </w:r>
      <w:r w:rsidR="00C57241">
        <w:t>.</w:t>
      </w:r>
      <w:r>
        <w:t xml:space="preserve"> </w:t>
      </w:r>
      <w:r w:rsidR="00667B7C" w:rsidRPr="002C3ECD">
        <w:t xml:space="preserve">In this paper, we set out some </w:t>
      </w:r>
      <w:r w:rsidR="000268D3" w:rsidRPr="002C3ECD">
        <w:t>key area</w:t>
      </w:r>
      <w:r w:rsidR="000268D3">
        <w:t xml:space="preserve">s where we would welcome </w:t>
      </w:r>
      <w:r w:rsidR="00FD157B">
        <w:t>comments</w:t>
      </w:r>
      <w:r w:rsidR="000268D3">
        <w:t xml:space="preserve">. It is not intended to limit </w:t>
      </w:r>
      <w:r w:rsidR="006D6E10">
        <w:t xml:space="preserve">your consideration of the </w:t>
      </w:r>
      <w:r w:rsidR="003D0528">
        <w:t>documents</w:t>
      </w:r>
      <w:r w:rsidR="000268D3">
        <w:t xml:space="preserve">. </w:t>
      </w:r>
    </w:p>
    <w:p w14:paraId="44A693A3" w14:textId="1C95D020" w:rsidR="00EF3A8C" w:rsidRDefault="00D242A9" w:rsidP="00966F78">
      <w:pPr>
        <w:pStyle w:val="Heading1"/>
      </w:pPr>
      <w:r>
        <w:t xml:space="preserve">Key areas </w:t>
      </w:r>
    </w:p>
    <w:p w14:paraId="7C460CDE" w14:textId="0AB36F6C" w:rsidR="00966F78" w:rsidRDefault="00832F51" w:rsidP="00966F78">
      <w:pPr>
        <w:pStyle w:val="Heading2"/>
      </w:pPr>
      <w:r>
        <w:t xml:space="preserve">Guidance </w:t>
      </w:r>
    </w:p>
    <w:p w14:paraId="63C2671E" w14:textId="6AFBF415" w:rsidR="00966F78" w:rsidRDefault="007A618E" w:rsidP="00CB3392">
      <w:pPr>
        <w:pStyle w:val="NoSpacing"/>
        <w:tabs>
          <w:tab w:val="left" w:pos="4365"/>
        </w:tabs>
      </w:pPr>
      <w:r>
        <w:t>Previously, we published a separate guidance document to be read in conjunction with the template constitution.</w:t>
      </w:r>
      <w:r w:rsidR="00DB3210">
        <w:t xml:space="preserve"> We propose to retire this document and instead </w:t>
      </w:r>
      <w:r w:rsidR="1C8BA247">
        <w:t xml:space="preserve">have </w:t>
      </w:r>
      <w:r w:rsidR="4ABB449E">
        <w:t>buil</w:t>
      </w:r>
      <w:r w:rsidR="2E6DD4FE">
        <w:t>t</w:t>
      </w:r>
      <w:r w:rsidR="00B95481">
        <w:t xml:space="preserve"> guidance into the template constitution</w:t>
      </w:r>
      <w:r w:rsidR="00D61E14">
        <w:t xml:space="preserve">. This </w:t>
      </w:r>
      <w:r w:rsidR="00E304D0">
        <w:t xml:space="preserve">avoids the need for users to </w:t>
      </w:r>
      <w:r w:rsidR="00D61E14">
        <w:t xml:space="preserve">cross reference between two </w:t>
      </w:r>
      <w:r w:rsidR="70F08D5E">
        <w:t xml:space="preserve">lengthy </w:t>
      </w:r>
      <w:r w:rsidR="00D61E14">
        <w:t>documents</w:t>
      </w:r>
      <w:r w:rsidR="00EF16C1">
        <w:t xml:space="preserve">. </w:t>
      </w:r>
      <w:r w:rsidR="009347E7">
        <w:t>In addition, we are reviewing our website guidance and resources</w:t>
      </w:r>
      <w:r w:rsidR="00E31E2C">
        <w:t xml:space="preserve">. </w:t>
      </w:r>
    </w:p>
    <w:p w14:paraId="03CBD151" w14:textId="77777777" w:rsidR="00F80A75" w:rsidRDefault="00F80A75" w:rsidP="00CB3392">
      <w:pPr>
        <w:pStyle w:val="NoSpacing"/>
        <w:tabs>
          <w:tab w:val="left" w:pos="4365"/>
        </w:tabs>
      </w:pPr>
    </w:p>
    <w:p w14:paraId="554B0C8A" w14:textId="564D54E5" w:rsidR="00F80A75" w:rsidRPr="00133224" w:rsidRDefault="00F80A75" w:rsidP="00CB3392">
      <w:pPr>
        <w:pStyle w:val="NoSpacing"/>
        <w:tabs>
          <w:tab w:val="left" w:pos="4365"/>
        </w:tabs>
      </w:pPr>
      <w:r>
        <w:t xml:space="preserve">We welcome feedback as to whether you consider this new approach to guidance works and your feedback on the content of the guidance. </w:t>
      </w:r>
    </w:p>
    <w:p w14:paraId="27F6A863" w14:textId="77777777" w:rsidR="00DE2F1D" w:rsidRDefault="00DE2F1D" w:rsidP="00EF3A8C">
      <w:pPr>
        <w:pStyle w:val="NoSpacing"/>
        <w:tabs>
          <w:tab w:val="left" w:pos="4365"/>
        </w:tabs>
      </w:pPr>
    </w:p>
    <w:p w14:paraId="7081D6CE" w14:textId="3AB71777" w:rsidR="00AA688C" w:rsidRDefault="00AA688C" w:rsidP="006852F1">
      <w:pPr>
        <w:pStyle w:val="Heading2"/>
      </w:pPr>
      <w:r>
        <w:t>Plain language</w:t>
      </w:r>
    </w:p>
    <w:p w14:paraId="6F3F04FD" w14:textId="6DFC1CA1" w:rsidR="00AA688C" w:rsidRDefault="008A39B8" w:rsidP="00C72DE7">
      <w:r>
        <w:t xml:space="preserve">The constitution has been rewritten to replace jargon with plain language. </w:t>
      </w:r>
      <w:r w:rsidR="00040073">
        <w:t xml:space="preserve">This has included removing sub-clause </w:t>
      </w:r>
      <w:r w:rsidR="008D60D9">
        <w:t xml:space="preserve">(that is, XX.X) numbering </w:t>
      </w:r>
      <w:r w:rsidR="00635246">
        <w:t xml:space="preserve">and, where we can, using simpler language. </w:t>
      </w:r>
    </w:p>
    <w:p w14:paraId="395EF652" w14:textId="37B31BAD" w:rsidR="001414A0" w:rsidRDefault="001414A0" w:rsidP="0099006C">
      <w:r>
        <w:t>We welcome</w:t>
      </w:r>
      <w:r w:rsidR="0099006C">
        <w:t xml:space="preserve"> y</w:t>
      </w:r>
      <w:r>
        <w:t>our suggestions on where clauses could be simplified furthe</w:t>
      </w:r>
      <w:r w:rsidR="0099006C">
        <w:t>r and f</w:t>
      </w:r>
      <w:r>
        <w:t xml:space="preserve">eedback as to where </w:t>
      </w:r>
      <w:r w:rsidR="0014069B">
        <w:t xml:space="preserve">the changed language may be confusing or ambiguous. </w:t>
      </w:r>
    </w:p>
    <w:p w14:paraId="1700828D" w14:textId="0F6CA14E" w:rsidR="00025DD0" w:rsidRDefault="00025DD0" w:rsidP="00025DD0">
      <w:pPr>
        <w:pStyle w:val="Heading2"/>
      </w:pPr>
      <w:r>
        <w:t>AGMs</w:t>
      </w:r>
    </w:p>
    <w:p w14:paraId="5A164277" w14:textId="2B547E71" w:rsidR="008C625E" w:rsidRDefault="006D5D13" w:rsidP="008C625E">
      <w:r w:rsidRPr="00636728">
        <w:t xml:space="preserve">We are aware that </w:t>
      </w:r>
      <w:r w:rsidR="000B6128" w:rsidRPr="00636728">
        <w:t xml:space="preserve">some registered charities </w:t>
      </w:r>
      <w:r w:rsidR="00010BBD" w:rsidRPr="00636728">
        <w:t xml:space="preserve">which are companies </w:t>
      </w:r>
      <w:r w:rsidR="000B6128" w:rsidRPr="00636728">
        <w:t>prefer to hold annual general</w:t>
      </w:r>
      <w:r w:rsidR="000B6128">
        <w:t xml:space="preserve"> meetings (AGMs) and some do not</w:t>
      </w:r>
      <w:r w:rsidR="00C11596">
        <w:t>, as the Corporations Act requirements are turned off</w:t>
      </w:r>
      <w:r w:rsidR="000B6128">
        <w:t xml:space="preserve">. </w:t>
      </w:r>
      <w:r w:rsidR="00036CC1">
        <w:t xml:space="preserve">We have aimed to cover both scenarios by </w:t>
      </w:r>
      <w:r w:rsidR="00A2672A">
        <w:t xml:space="preserve">providing </w:t>
      </w:r>
      <w:r w:rsidR="00D4334B">
        <w:t xml:space="preserve">as the default that the company does not hold AGMs </w:t>
      </w:r>
      <w:r w:rsidR="00D4334B">
        <w:lastRenderedPageBreak/>
        <w:t xml:space="preserve">and including </w:t>
      </w:r>
      <w:r w:rsidR="00A2672A">
        <w:t xml:space="preserve">a suggested clause </w:t>
      </w:r>
      <w:r w:rsidR="003F6778">
        <w:t>that would require the company to have AGM</w:t>
      </w:r>
      <w:r w:rsidR="00D4334B">
        <w:t xml:space="preserve">s. </w:t>
      </w:r>
      <w:r w:rsidR="00221C4A">
        <w:t xml:space="preserve">We welcome feedback as to </w:t>
      </w:r>
      <w:r w:rsidR="00587A73">
        <w:t xml:space="preserve">the preferable approach. </w:t>
      </w:r>
    </w:p>
    <w:p w14:paraId="2F6089C5" w14:textId="77777777" w:rsidR="00053D5B" w:rsidRDefault="00053D5B" w:rsidP="00053D5B">
      <w:pPr>
        <w:pStyle w:val="Heading2"/>
      </w:pPr>
      <w:r>
        <w:t xml:space="preserve">Technology neutral </w:t>
      </w:r>
    </w:p>
    <w:p w14:paraId="55BC2EE9" w14:textId="749B64C2" w:rsidR="00053D5B" w:rsidRDefault="00053D5B" w:rsidP="00053D5B">
      <w:r>
        <w:t>We have aimed to facilitate technology neutral governance. This has included adding a clause clarifying how members may sign documents, strengthening clauses regarding hybrid or virtual meetings, and clarifying how records may be kept.</w:t>
      </w:r>
      <w:r w:rsidR="003831DF">
        <w:t xml:space="preserve"> We welcome feedback</w:t>
      </w:r>
      <w:r w:rsidR="008F240C">
        <w:t xml:space="preserve"> on ways to strengthen these </w:t>
      </w:r>
      <w:r w:rsidR="003176CD">
        <w:t>further</w:t>
      </w:r>
      <w:r w:rsidR="008F240C">
        <w:t xml:space="preserve">. </w:t>
      </w:r>
      <w:r w:rsidR="003831DF">
        <w:t xml:space="preserve"> </w:t>
      </w:r>
    </w:p>
    <w:p w14:paraId="265E4627" w14:textId="0E06FDD8" w:rsidR="005359D2" w:rsidRDefault="005359D2" w:rsidP="005359D2">
      <w:pPr>
        <w:pStyle w:val="Heading2"/>
      </w:pPr>
      <w:r>
        <w:t xml:space="preserve">Variations </w:t>
      </w:r>
    </w:p>
    <w:p w14:paraId="0E5D4F4F" w14:textId="0982BA37" w:rsidR="008369BE" w:rsidRDefault="00EC6042" w:rsidP="005359D2">
      <w:r>
        <w:t xml:space="preserve">To </w:t>
      </w:r>
      <w:r w:rsidR="00021323">
        <w:t xml:space="preserve">support a range of potential users, </w:t>
      </w:r>
      <w:r w:rsidR="00B5248D">
        <w:t xml:space="preserve">we </w:t>
      </w:r>
      <w:r w:rsidR="00C11B8B">
        <w:t xml:space="preserve">have prepared </w:t>
      </w:r>
      <w:r w:rsidR="00B5248D">
        <w:t xml:space="preserve">a range of </w:t>
      </w:r>
      <w:r w:rsidR="00545CA2">
        <w:t>template constitutions</w:t>
      </w:r>
      <w:r w:rsidR="008369BE">
        <w:t>, including for:</w:t>
      </w:r>
    </w:p>
    <w:p w14:paraId="0520AC19" w14:textId="3AE45A6A" w:rsidR="008369BE" w:rsidRDefault="008369BE" w:rsidP="008369BE">
      <w:pPr>
        <w:pStyle w:val="ListParagraph"/>
        <w:numPr>
          <w:ilvl w:val="0"/>
          <w:numId w:val="3"/>
        </w:numPr>
      </w:pPr>
      <w:r>
        <w:t xml:space="preserve">DGR </w:t>
      </w:r>
      <w:r w:rsidR="00D94E7F">
        <w:t>endorsement as a whole or for the operation of a fund</w:t>
      </w:r>
      <w:r w:rsidR="00940DA0">
        <w:t xml:space="preserve">, where we have amended the winding up clause and added a clause regarding revocation of DGR endorsement </w:t>
      </w:r>
    </w:p>
    <w:p w14:paraId="44EEDB14" w14:textId="107591B6" w:rsidR="00D94E7F" w:rsidRDefault="00D0168B" w:rsidP="008369BE">
      <w:pPr>
        <w:pStyle w:val="ListParagraph"/>
        <w:numPr>
          <w:ilvl w:val="0"/>
          <w:numId w:val="3"/>
        </w:numPr>
      </w:pPr>
      <w:r>
        <w:t>Public benevolent institutions and health promotion charities</w:t>
      </w:r>
      <w:r w:rsidR="00337794">
        <w:t xml:space="preserve">, where we have amended the guidance regarding </w:t>
      </w:r>
      <w:r w:rsidR="004C4A4C">
        <w:t>the purpose clause, the winding up clause, and added a clause regarding revocation of DGR endorsement</w:t>
      </w:r>
      <w:r w:rsidR="00BE459E">
        <w:t>.</w:t>
      </w:r>
    </w:p>
    <w:p w14:paraId="09B619A4" w14:textId="485D5E7C" w:rsidR="005359D2" w:rsidRDefault="009265B3" w:rsidP="005359D2">
      <w:r>
        <w:t xml:space="preserve">We are interested in views as to whether these are useful or confusing. </w:t>
      </w:r>
    </w:p>
    <w:p w14:paraId="69E4087E" w14:textId="4A9ABC01" w:rsidR="005342C2" w:rsidRDefault="005C3AAA" w:rsidP="00C9438C">
      <w:pPr>
        <w:pStyle w:val="Heading1"/>
      </w:pPr>
      <w:r>
        <w:t xml:space="preserve">How to provide feedback </w:t>
      </w:r>
    </w:p>
    <w:p w14:paraId="6C26BECF" w14:textId="77777777" w:rsidR="005342C2" w:rsidRDefault="005342C2" w:rsidP="00C9438C">
      <w:pPr>
        <w:pStyle w:val="NoSpacing"/>
        <w:keepNext/>
      </w:pPr>
    </w:p>
    <w:p w14:paraId="257300C3" w14:textId="5DF1699C" w:rsidR="005342C2" w:rsidRDefault="001D2E49" w:rsidP="005342C2">
      <w:pPr>
        <w:pStyle w:val="NoSpacing"/>
        <w:tabs>
          <w:tab w:val="left" w:pos="4365"/>
        </w:tabs>
      </w:pPr>
      <w:r>
        <w:t xml:space="preserve">Please provide your feedback by email to </w:t>
      </w:r>
      <w:hyperlink r:id="rId11" w:history="1">
        <w:r w:rsidR="00D339EF" w:rsidRPr="00351455">
          <w:rPr>
            <w:rStyle w:val="Hyperlink"/>
          </w:rPr>
          <w:t>consultations@acnc.gov.au</w:t>
        </w:r>
      </w:hyperlink>
      <w:r w:rsidR="00D339EF">
        <w:t xml:space="preserve"> by </w:t>
      </w:r>
      <w:r w:rsidR="00A9505D">
        <w:t>Friday 9</w:t>
      </w:r>
      <w:r w:rsidR="00060E55">
        <w:t xml:space="preserve"> May </w:t>
      </w:r>
      <w:r w:rsidR="00AA02C0">
        <w:t xml:space="preserve">2025. </w:t>
      </w:r>
    </w:p>
    <w:p w14:paraId="2790B2E6" w14:textId="77777777" w:rsidR="007826B4" w:rsidRDefault="007826B4" w:rsidP="005342C2">
      <w:pPr>
        <w:pStyle w:val="NoSpacing"/>
        <w:tabs>
          <w:tab w:val="left" w:pos="4365"/>
        </w:tabs>
      </w:pPr>
    </w:p>
    <w:p w14:paraId="301688DE" w14:textId="039F9843" w:rsidR="007826B4" w:rsidRDefault="00C12FF9" w:rsidP="005342C2">
      <w:pPr>
        <w:pStyle w:val="NoSpacing"/>
        <w:tabs>
          <w:tab w:val="left" w:pos="4365"/>
        </w:tabs>
      </w:pPr>
      <w:r>
        <w:t xml:space="preserve">Ways that you can provide feedback include: </w:t>
      </w:r>
    </w:p>
    <w:p w14:paraId="408EB062" w14:textId="77777777" w:rsidR="00237B4A" w:rsidRDefault="00237B4A" w:rsidP="005342C2">
      <w:pPr>
        <w:pStyle w:val="NoSpacing"/>
        <w:tabs>
          <w:tab w:val="left" w:pos="4365"/>
        </w:tabs>
      </w:pPr>
    </w:p>
    <w:p w14:paraId="60AF29C4" w14:textId="5F842822" w:rsidR="00237B4A" w:rsidRDefault="00237B4A" w:rsidP="00237B4A">
      <w:pPr>
        <w:pStyle w:val="NoSpacing"/>
        <w:numPr>
          <w:ilvl w:val="0"/>
          <w:numId w:val="2"/>
        </w:numPr>
        <w:tabs>
          <w:tab w:val="left" w:pos="4365"/>
        </w:tabs>
      </w:pPr>
      <w:r>
        <w:t>Emailing</w:t>
      </w:r>
      <w:r w:rsidR="009673A6">
        <w:t xml:space="preserve"> us</w:t>
      </w:r>
      <w:r>
        <w:t xml:space="preserve"> an annotated version of the draft template constitution </w:t>
      </w:r>
    </w:p>
    <w:p w14:paraId="3F6A24C5" w14:textId="2D62A8E6" w:rsidR="00237B4A" w:rsidRDefault="00421834" w:rsidP="00237B4A">
      <w:pPr>
        <w:pStyle w:val="NoSpacing"/>
        <w:numPr>
          <w:ilvl w:val="0"/>
          <w:numId w:val="2"/>
        </w:numPr>
        <w:tabs>
          <w:tab w:val="left" w:pos="4365"/>
        </w:tabs>
      </w:pPr>
      <w:r>
        <w:t xml:space="preserve">Providing an email </w:t>
      </w:r>
      <w:r w:rsidR="007811F5">
        <w:t xml:space="preserve">with </w:t>
      </w:r>
      <w:r w:rsidR="00816CFC">
        <w:t xml:space="preserve">written </w:t>
      </w:r>
      <w:r w:rsidR="007811F5">
        <w:t xml:space="preserve">comments </w:t>
      </w:r>
    </w:p>
    <w:p w14:paraId="4DC2980D" w14:textId="3D00BB17" w:rsidR="00816CFC" w:rsidRDefault="00816CFC" w:rsidP="00237B4A">
      <w:pPr>
        <w:pStyle w:val="NoSpacing"/>
        <w:numPr>
          <w:ilvl w:val="0"/>
          <w:numId w:val="2"/>
        </w:numPr>
        <w:tabs>
          <w:tab w:val="left" w:pos="4365"/>
        </w:tabs>
      </w:pPr>
      <w:r>
        <w:t xml:space="preserve">Sending a video </w:t>
      </w:r>
    </w:p>
    <w:p w14:paraId="61654204" w14:textId="77777777" w:rsidR="005917A6" w:rsidRDefault="005917A6" w:rsidP="00133224">
      <w:pPr>
        <w:pStyle w:val="NoSpacing"/>
      </w:pPr>
    </w:p>
    <w:p w14:paraId="67C316D8" w14:textId="7CAD2E6C" w:rsidR="005917A6" w:rsidRDefault="005917A6" w:rsidP="00133224">
      <w:pPr>
        <w:pStyle w:val="NoSpacing"/>
      </w:pPr>
      <w:r>
        <w:t xml:space="preserve">All submissions will be confidential and will not be published on the ACNC website. </w:t>
      </w:r>
    </w:p>
    <w:p w14:paraId="31A25B81" w14:textId="77777777" w:rsidR="003502A6" w:rsidRDefault="003502A6" w:rsidP="00133224">
      <w:pPr>
        <w:pStyle w:val="NoSpacing"/>
      </w:pPr>
    </w:p>
    <w:p w14:paraId="751E7407" w14:textId="34F81DCD" w:rsidR="003502A6" w:rsidRPr="00133224" w:rsidRDefault="003502A6" w:rsidP="00133224">
      <w:pPr>
        <w:pStyle w:val="NoSpacing"/>
      </w:pPr>
      <w:r>
        <w:t>If you would like to provide feedback in an alternative format, please do not hesitate to contact us</w:t>
      </w:r>
      <w:r w:rsidR="004C785E">
        <w:t xml:space="preserve">. </w:t>
      </w:r>
    </w:p>
    <w:sectPr w:rsidR="003502A6" w:rsidRPr="00133224" w:rsidSect="001332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823B5" w14:textId="77777777" w:rsidR="00C1204A" w:rsidRDefault="00C1204A" w:rsidP="00FD1039">
      <w:pPr>
        <w:spacing w:after="0" w:line="240" w:lineRule="auto"/>
      </w:pPr>
      <w:r>
        <w:separator/>
      </w:r>
    </w:p>
  </w:endnote>
  <w:endnote w:type="continuationSeparator" w:id="0">
    <w:p w14:paraId="36A39F8A" w14:textId="77777777" w:rsidR="00C1204A" w:rsidRDefault="00C1204A" w:rsidP="00FD1039">
      <w:pPr>
        <w:spacing w:after="0" w:line="240" w:lineRule="auto"/>
      </w:pPr>
      <w:r>
        <w:continuationSeparator/>
      </w:r>
    </w:p>
  </w:endnote>
  <w:endnote w:type="continuationNotice" w:id="1">
    <w:p w14:paraId="1EFBA872" w14:textId="77777777" w:rsidR="002068E3" w:rsidRDefault="002068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D657" w14:textId="28E529D3" w:rsidR="00996EF7" w:rsidRDefault="00996E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A82462F" wp14:editId="0BB07CD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AEFF3" w14:textId="3803FA92" w:rsidR="00996EF7" w:rsidRPr="00996EF7" w:rsidRDefault="00996EF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96EF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2462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8EAEFF3" w14:textId="3803FA92" w:rsidR="00996EF7" w:rsidRPr="00996EF7" w:rsidRDefault="00996EF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96EF7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A7A96" w14:textId="2D77C1EF" w:rsidR="0029354B" w:rsidRDefault="00996EF7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657B89A" wp14:editId="1A821D3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13F92A" w14:textId="054A9D53" w:rsidR="00996EF7" w:rsidRPr="00996EF7" w:rsidRDefault="00996EF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96EF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7B89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left:0;text-align:left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C13F92A" w14:textId="054A9D53" w:rsidR="00996EF7" w:rsidRPr="00996EF7" w:rsidRDefault="00996EF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96EF7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sdt>
    <w:sdtPr>
      <w:id w:val="-11954651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3860C7" w14:textId="77777777" w:rsidR="0029354B" w:rsidRDefault="0029354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22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22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9D79F9" w14:textId="77777777" w:rsidR="008F7011" w:rsidRPr="008F7011" w:rsidRDefault="008F7011" w:rsidP="008F7011">
    <w:pPr>
      <w:pStyle w:val="NoSpacing"/>
      <w:rPr>
        <w:color w:val="666666" w:themeColor="text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2A11" w14:textId="7166B33F" w:rsidR="00133224" w:rsidRDefault="00996EF7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BF75AA5" wp14:editId="0C8DFEC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2F4025" w14:textId="06BC9ADF" w:rsidR="00996EF7" w:rsidRPr="00996EF7" w:rsidRDefault="00996EF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96EF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75AA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left:0;text-align:left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32F4025" w14:textId="06BC9ADF" w:rsidR="00996EF7" w:rsidRPr="00996EF7" w:rsidRDefault="00996EF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96EF7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sdt>
    <w:sdtPr>
      <w:id w:val="123743498"/>
      <w:docPartObj>
        <w:docPartGallery w:val="Page Numbers (Bottom of Page)"/>
        <w:docPartUnique/>
      </w:docPartObj>
    </w:sdtPr>
    <w:sdtEndPr/>
    <w:sdtContent>
      <w:sdt>
        <w:sdtPr>
          <w:id w:val="-965580255"/>
          <w:docPartObj>
            <w:docPartGallery w:val="Page Numbers (Top of Page)"/>
            <w:docPartUnique/>
          </w:docPartObj>
        </w:sdtPr>
        <w:sdtEndPr/>
        <w:sdtContent>
          <w:p w14:paraId="4549D5C9" w14:textId="77777777" w:rsidR="00133224" w:rsidRDefault="0013322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4E0427" w14:textId="77777777" w:rsidR="00133224" w:rsidRDefault="00133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1C2F9" w14:textId="77777777" w:rsidR="00C1204A" w:rsidRDefault="00C1204A" w:rsidP="00FD1039">
      <w:pPr>
        <w:spacing w:after="0" w:line="240" w:lineRule="auto"/>
      </w:pPr>
      <w:r>
        <w:separator/>
      </w:r>
    </w:p>
  </w:footnote>
  <w:footnote w:type="continuationSeparator" w:id="0">
    <w:p w14:paraId="161B11D2" w14:textId="77777777" w:rsidR="00C1204A" w:rsidRDefault="00C1204A" w:rsidP="00FD1039">
      <w:pPr>
        <w:spacing w:after="0" w:line="240" w:lineRule="auto"/>
      </w:pPr>
      <w:r>
        <w:continuationSeparator/>
      </w:r>
    </w:p>
  </w:footnote>
  <w:footnote w:type="continuationNotice" w:id="1">
    <w:p w14:paraId="5CE1F668" w14:textId="77777777" w:rsidR="002068E3" w:rsidRDefault="002068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AD15" w14:textId="572B48E6" w:rsidR="00996EF7" w:rsidRDefault="00996E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2989378" wp14:editId="405376F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FA8923" w14:textId="216BD191" w:rsidR="00996EF7" w:rsidRPr="00996EF7" w:rsidRDefault="00996EF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96EF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893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37FA8923" w14:textId="216BD191" w:rsidR="00996EF7" w:rsidRPr="00996EF7" w:rsidRDefault="00996EF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96EF7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47A83" w14:textId="76B75EEE" w:rsidR="00D34F33" w:rsidRDefault="00996E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3C1B696" wp14:editId="797D2E8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5621E" w14:textId="65B2052B" w:rsidR="00996EF7" w:rsidRPr="00996EF7" w:rsidRDefault="00996EF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96EF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C1B69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AA5621E" w14:textId="65B2052B" w:rsidR="00996EF7" w:rsidRPr="00996EF7" w:rsidRDefault="00996EF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96EF7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07CA830" w14:textId="77777777" w:rsidR="00D34F33" w:rsidRDefault="00D34F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63D2" w14:textId="4A7F43F5" w:rsidR="00133224" w:rsidRDefault="00996EF7" w:rsidP="00133224">
    <w:pPr>
      <w:pStyle w:val="Header"/>
      <w:jc w:val="right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5EFC87" wp14:editId="458B5A2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76FAC9" w14:textId="287FAFE3" w:rsidR="00996EF7" w:rsidRPr="00996EF7" w:rsidRDefault="00996EF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96EF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5EFC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0D76FAC9" w14:textId="287FAFE3" w:rsidR="00996EF7" w:rsidRPr="00996EF7" w:rsidRDefault="00996EF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96EF7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33224">
      <w:rPr>
        <w:noProof/>
        <w:lang w:eastAsia="en-AU"/>
      </w:rPr>
      <w:drawing>
        <wp:inline distT="0" distB="0" distL="0" distR="0" wp14:anchorId="04EA3617" wp14:editId="2829CA21">
          <wp:extent cx="2733675" cy="722558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nc_cobranded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0493" cy="729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3224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D0784"/>
    <w:multiLevelType w:val="hybridMultilevel"/>
    <w:tmpl w:val="F1D8B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D556B"/>
    <w:multiLevelType w:val="hybridMultilevel"/>
    <w:tmpl w:val="39FE4D46"/>
    <w:lvl w:ilvl="0" w:tplc="11649A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16D59"/>
    <w:multiLevelType w:val="hybridMultilevel"/>
    <w:tmpl w:val="614C022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7213570">
    <w:abstractNumId w:val="2"/>
  </w:num>
  <w:num w:numId="2" w16cid:durableId="1029528002">
    <w:abstractNumId w:val="0"/>
  </w:num>
  <w:num w:numId="3" w16cid:durableId="1608464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4B"/>
    <w:rsid w:val="00010BBD"/>
    <w:rsid w:val="00021323"/>
    <w:rsid w:val="00025DD0"/>
    <w:rsid w:val="000268D3"/>
    <w:rsid w:val="00032CF4"/>
    <w:rsid w:val="00036CC1"/>
    <w:rsid w:val="00040073"/>
    <w:rsid w:val="0004046A"/>
    <w:rsid w:val="00053D5B"/>
    <w:rsid w:val="00060E55"/>
    <w:rsid w:val="00064FB0"/>
    <w:rsid w:val="000736C1"/>
    <w:rsid w:val="00082B32"/>
    <w:rsid w:val="0009143E"/>
    <w:rsid w:val="000A03E6"/>
    <w:rsid w:val="000A1E3F"/>
    <w:rsid w:val="000B0A59"/>
    <w:rsid w:val="000B6128"/>
    <w:rsid w:val="000B6EE4"/>
    <w:rsid w:val="000C5447"/>
    <w:rsid w:val="000D49BB"/>
    <w:rsid w:val="000E0207"/>
    <w:rsid w:val="000F20B2"/>
    <w:rsid w:val="00132B7A"/>
    <w:rsid w:val="00133224"/>
    <w:rsid w:val="00136646"/>
    <w:rsid w:val="0014069B"/>
    <w:rsid w:val="001414A0"/>
    <w:rsid w:val="00156ED0"/>
    <w:rsid w:val="001A38B9"/>
    <w:rsid w:val="001C5C3F"/>
    <w:rsid w:val="001D2E49"/>
    <w:rsid w:val="001F070B"/>
    <w:rsid w:val="001F456C"/>
    <w:rsid w:val="002068E3"/>
    <w:rsid w:val="00211A5A"/>
    <w:rsid w:val="00213FCE"/>
    <w:rsid w:val="00221C4A"/>
    <w:rsid w:val="00235F33"/>
    <w:rsid w:val="00237B4A"/>
    <w:rsid w:val="0024427E"/>
    <w:rsid w:val="00284265"/>
    <w:rsid w:val="00290E29"/>
    <w:rsid w:val="0029354B"/>
    <w:rsid w:val="002C3ECD"/>
    <w:rsid w:val="002D23AA"/>
    <w:rsid w:val="00314559"/>
    <w:rsid w:val="003176CD"/>
    <w:rsid w:val="0032180A"/>
    <w:rsid w:val="00321B3A"/>
    <w:rsid w:val="00326D73"/>
    <w:rsid w:val="0033508B"/>
    <w:rsid w:val="00337794"/>
    <w:rsid w:val="003502A6"/>
    <w:rsid w:val="00356578"/>
    <w:rsid w:val="003608A0"/>
    <w:rsid w:val="00360C63"/>
    <w:rsid w:val="00364D3E"/>
    <w:rsid w:val="003818E0"/>
    <w:rsid w:val="003831DF"/>
    <w:rsid w:val="003D0528"/>
    <w:rsid w:val="003D30A0"/>
    <w:rsid w:val="003D65F2"/>
    <w:rsid w:val="003E2F65"/>
    <w:rsid w:val="003F4110"/>
    <w:rsid w:val="003F6778"/>
    <w:rsid w:val="00414C9D"/>
    <w:rsid w:val="00415C90"/>
    <w:rsid w:val="00421834"/>
    <w:rsid w:val="0043643C"/>
    <w:rsid w:val="004658CB"/>
    <w:rsid w:val="00466DD2"/>
    <w:rsid w:val="00492ACD"/>
    <w:rsid w:val="00494D08"/>
    <w:rsid w:val="004C30DD"/>
    <w:rsid w:val="004C4A4C"/>
    <w:rsid w:val="004C785E"/>
    <w:rsid w:val="004E072C"/>
    <w:rsid w:val="004E343B"/>
    <w:rsid w:val="004F06B0"/>
    <w:rsid w:val="005174F1"/>
    <w:rsid w:val="005306D0"/>
    <w:rsid w:val="005342C2"/>
    <w:rsid w:val="00534485"/>
    <w:rsid w:val="005359D2"/>
    <w:rsid w:val="00541DDF"/>
    <w:rsid w:val="00545CA2"/>
    <w:rsid w:val="00551C8D"/>
    <w:rsid w:val="0055790B"/>
    <w:rsid w:val="00566C37"/>
    <w:rsid w:val="00585D3D"/>
    <w:rsid w:val="00587A73"/>
    <w:rsid w:val="005917A6"/>
    <w:rsid w:val="005C3AAA"/>
    <w:rsid w:val="005E2450"/>
    <w:rsid w:val="006036E7"/>
    <w:rsid w:val="00605A7B"/>
    <w:rsid w:val="00617C3E"/>
    <w:rsid w:val="006221B4"/>
    <w:rsid w:val="00626822"/>
    <w:rsid w:val="00631D39"/>
    <w:rsid w:val="00635246"/>
    <w:rsid w:val="00636728"/>
    <w:rsid w:val="0063723C"/>
    <w:rsid w:val="00647F1C"/>
    <w:rsid w:val="00667B7C"/>
    <w:rsid w:val="006852F1"/>
    <w:rsid w:val="00691761"/>
    <w:rsid w:val="006B1F03"/>
    <w:rsid w:val="006B64AB"/>
    <w:rsid w:val="006D5D13"/>
    <w:rsid w:val="006D6E10"/>
    <w:rsid w:val="007141C4"/>
    <w:rsid w:val="00715471"/>
    <w:rsid w:val="00717700"/>
    <w:rsid w:val="00734858"/>
    <w:rsid w:val="007811F5"/>
    <w:rsid w:val="007826B4"/>
    <w:rsid w:val="007934CB"/>
    <w:rsid w:val="007A618E"/>
    <w:rsid w:val="00802627"/>
    <w:rsid w:val="00810B57"/>
    <w:rsid w:val="00816CFC"/>
    <w:rsid w:val="008227AE"/>
    <w:rsid w:val="00825201"/>
    <w:rsid w:val="00832F51"/>
    <w:rsid w:val="008369BE"/>
    <w:rsid w:val="00855C74"/>
    <w:rsid w:val="00857658"/>
    <w:rsid w:val="008908E2"/>
    <w:rsid w:val="00890D95"/>
    <w:rsid w:val="00897D1A"/>
    <w:rsid w:val="008A39B8"/>
    <w:rsid w:val="008C4FA2"/>
    <w:rsid w:val="008C625E"/>
    <w:rsid w:val="008C7776"/>
    <w:rsid w:val="008D60D9"/>
    <w:rsid w:val="008E0B6B"/>
    <w:rsid w:val="008E694B"/>
    <w:rsid w:val="008F240C"/>
    <w:rsid w:val="008F37CB"/>
    <w:rsid w:val="008F7011"/>
    <w:rsid w:val="00913075"/>
    <w:rsid w:val="00920EB7"/>
    <w:rsid w:val="009265B3"/>
    <w:rsid w:val="009347E7"/>
    <w:rsid w:val="0094097B"/>
    <w:rsid w:val="00940DA0"/>
    <w:rsid w:val="00953004"/>
    <w:rsid w:val="00966F78"/>
    <w:rsid w:val="009673A6"/>
    <w:rsid w:val="00980DED"/>
    <w:rsid w:val="00987308"/>
    <w:rsid w:val="0099006C"/>
    <w:rsid w:val="00990CE8"/>
    <w:rsid w:val="009965D9"/>
    <w:rsid w:val="00996BCC"/>
    <w:rsid w:val="00996EF7"/>
    <w:rsid w:val="009A2CDE"/>
    <w:rsid w:val="009B2CCF"/>
    <w:rsid w:val="009B786D"/>
    <w:rsid w:val="009D3269"/>
    <w:rsid w:val="00A054A7"/>
    <w:rsid w:val="00A1184A"/>
    <w:rsid w:val="00A12FD0"/>
    <w:rsid w:val="00A2672A"/>
    <w:rsid w:val="00A63331"/>
    <w:rsid w:val="00A65D5A"/>
    <w:rsid w:val="00A80A43"/>
    <w:rsid w:val="00A9505D"/>
    <w:rsid w:val="00AA02C0"/>
    <w:rsid w:val="00AA688C"/>
    <w:rsid w:val="00B00ECF"/>
    <w:rsid w:val="00B338D5"/>
    <w:rsid w:val="00B37AF2"/>
    <w:rsid w:val="00B5248D"/>
    <w:rsid w:val="00B54896"/>
    <w:rsid w:val="00B95481"/>
    <w:rsid w:val="00BA1B8A"/>
    <w:rsid w:val="00BC1923"/>
    <w:rsid w:val="00BE459E"/>
    <w:rsid w:val="00BF10C8"/>
    <w:rsid w:val="00BF6186"/>
    <w:rsid w:val="00C062F0"/>
    <w:rsid w:val="00C11596"/>
    <w:rsid w:val="00C11B8B"/>
    <w:rsid w:val="00C1204A"/>
    <w:rsid w:val="00C12FF9"/>
    <w:rsid w:val="00C217FA"/>
    <w:rsid w:val="00C334B1"/>
    <w:rsid w:val="00C50C50"/>
    <w:rsid w:val="00C54352"/>
    <w:rsid w:val="00C57241"/>
    <w:rsid w:val="00C71F45"/>
    <w:rsid w:val="00C72DE7"/>
    <w:rsid w:val="00C858A1"/>
    <w:rsid w:val="00C90906"/>
    <w:rsid w:val="00C92BFE"/>
    <w:rsid w:val="00C9438C"/>
    <w:rsid w:val="00CB20AD"/>
    <w:rsid w:val="00CB3392"/>
    <w:rsid w:val="00CD3E85"/>
    <w:rsid w:val="00CE04FC"/>
    <w:rsid w:val="00CE781A"/>
    <w:rsid w:val="00CF5407"/>
    <w:rsid w:val="00D0168B"/>
    <w:rsid w:val="00D054EF"/>
    <w:rsid w:val="00D0684C"/>
    <w:rsid w:val="00D14E10"/>
    <w:rsid w:val="00D211CB"/>
    <w:rsid w:val="00D242A9"/>
    <w:rsid w:val="00D273BD"/>
    <w:rsid w:val="00D339EF"/>
    <w:rsid w:val="00D34F33"/>
    <w:rsid w:val="00D4334B"/>
    <w:rsid w:val="00D45AE5"/>
    <w:rsid w:val="00D51BC8"/>
    <w:rsid w:val="00D61E14"/>
    <w:rsid w:val="00D779CA"/>
    <w:rsid w:val="00D87B7C"/>
    <w:rsid w:val="00D94E7F"/>
    <w:rsid w:val="00DA2555"/>
    <w:rsid w:val="00DA5E46"/>
    <w:rsid w:val="00DB3210"/>
    <w:rsid w:val="00DE1953"/>
    <w:rsid w:val="00DE2F1D"/>
    <w:rsid w:val="00E00172"/>
    <w:rsid w:val="00E11588"/>
    <w:rsid w:val="00E304D0"/>
    <w:rsid w:val="00E30FA7"/>
    <w:rsid w:val="00E31E2C"/>
    <w:rsid w:val="00E335C1"/>
    <w:rsid w:val="00E47FA8"/>
    <w:rsid w:val="00E52099"/>
    <w:rsid w:val="00E53474"/>
    <w:rsid w:val="00E84F9E"/>
    <w:rsid w:val="00EA28BB"/>
    <w:rsid w:val="00EA5422"/>
    <w:rsid w:val="00EC4657"/>
    <w:rsid w:val="00EC6042"/>
    <w:rsid w:val="00EF16C1"/>
    <w:rsid w:val="00EF3A8C"/>
    <w:rsid w:val="00EF6796"/>
    <w:rsid w:val="00F138D3"/>
    <w:rsid w:val="00F80A75"/>
    <w:rsid w:val="00FC0C0B"/>
    <w:rsid w:val="00FD1039"/>
    <w:rsid w:val="00FD157B"/>
    <w:rsid w:val="00FE6D76"/>
    <w:rsid w:val="00FF2712"/>
    <w:rsid w:val="0BBE3B6F"/>
    <w:rsid w:val="0C835BE5"/>
    <w:rsid w:val="13B252E7"/>
    <w:rsid w:val="1C8BA247"/>
    <w:rsid w:val="217865B2"/>
    <w:rsid w:val="2822A7A9"/>
    <w:rsid w:val="2E6DD4FE"/>
    <w:rsid w:val="2F702D12"/>
    <w:rsid w:val="3A1E2F85"/>
    <w:rsid w:val="40565666"/>
    <w:rsid w:val="4907D371"/>
    <w:rsid w:val="4ABB449E"/>
    <w:rsid w:val="550FFB12"/>
    <w:rsid w:val="70F08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64B50"/>
  <w15:chartTrackingRefBased/>
  <w15:docId w15:val="{7E40FA3F-087A-44E2-9A80-20A4446E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9D2"/>
  </w:style>
  <w:style w:type="paragraph" w:styleId="Heading1">
    <w:name w:val="heading 1"/>
    <w:basedOn w:val="Normal"/>
    <w:next w:val="NoSpacing"/>
    <w:link w:val="Heading1Char"/>
    <w:uiPriority w:val="9"/>
    <w:qFormat/>
    <w:rsid w:val="00FD103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45A8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32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338177" w:themeColor="accent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2D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22C47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 Spacing Headers"/>
    <w:uiPriority w:val="1"/>
    <w:qFormat/>
    <w:rsid w:val="00D87B7C"/>
    <w:pPr>
      <w:spacing w:after="0" w:line="240" w:lineRule="auto"/>
    </w:pPr>
    <w:rPr>
      <w:color w:val="3B3838" w:themeColor="background2" w:themeShade="40"/>
    </w:rPr>
  </w:style>
  <w:style w:type="character" w:customStyle="1" w:styleId="Heading1Char">
    <w:name w:val="Heading 1 Char"/>
    <w:basedOn w:val="DefaultParagraphFont"/>
    <w:link w:val="Heading1"/>
    <w:uiPriority w:val="9"/>
    <w:rsid w:val="00FD1039"/>
    <w:rPr>
      <w:rFonts w:asciiTheme="majorHAnsi" w:eastAsiaTheme="majorEastAsia" w:hAnsiTheme="majorHAnsi" w:cstheme="majorBidi"/>
      <w:color w:val="245A8F"/>
      <w:sz w:val="48"/>
      <w:szCs w:val="32"/>
    </w:rPr>
  </w:style>
  <w:style w:type="paragraph" w:styleId="Header">
    <w:name w:val="header"/>
    <w:basedOn w:val="Normal"/>
    <w:link w:val="HeaderChar"/>
    <w:uiPriority w:val="99"/>
    <w:unhideWhenUsed/>
    <w:rsid w:val="00FD1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039"/>
  </w:style>
  <w:style w:type="paragraph" w:styleId="Footer">
    <w:name w:val="footer"/>
    <w:basedOn w:val="Normal"/>
    <w:link w:val="FooterChar"/>
    <w:uiPriority w:val="99"/>
    <w:unhideWhenUsed/>
    <w:rsid w:val="00FD1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039"/>
  </w:style>
  <w:style w:type="table" w:styleId="TableGrid">
    <w:name w:val="Table Grid"/>
    <w:basedOn w:val="TableNormal"/>
    <w:uiPriority w:val="39"/>
    <w:rsid w:val="00FD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">
    <w:name w:val="List Table 4"/>
    <w:basedOn w:val="TableNormal"/>
    <w:uiPriority w:val="49"/>
    <w:rsid w:val="0009143E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text1" w:themeTint="99"/>
        <w:left w:val="single" w:sz="4" w:space="0" w:color="A3A3A3" w:themeColor="text1" w:themeTint="99"/>
        <w:bottom w:val="single" w:sz="4" w:space="0" w:color="A3A3A3" w:themeColor="text1" w:themeTint="99"/>
        <w:right w:val="single" w:sz="4" w:space="0" w:color="A3A3A3" w:themeColor="text1" w:themeTint="99"/>
        <w:insideH w:val="single" w:sz="4" w:space="0" w:color="A3A3A3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text1"/>
          <w:left w:val="single" w:sz="4" w:space="0" w:color="666666" w:themeColor="text1"/>
          <w:bottom w:val="single" w:sz="4" w:space="0" w:color="666666" w:themeColor="text1"/>
          <w:right w:val="single" w:sz="4" w:space="0" w:color="666666" w:themeColor="text1"/>
          <w:insideH w:val="nil"/>
        </w:tcBorders>
        <w:shd w:val="clear" w:color="auto" w:fill="666666" w:themeFill="text1"/>
      </w:tcPr>
    </w:tblStylePr>
    <w:tblStylePr w:type="lastRow">
      <w:rPr>
        <w:b/>
        <w:bCs/>
      </w:rPr>
      <w:tblPr/>
      <w:tcPr>
        <w:tcBorders>
          <w:top w:val="double" w:sz="4" w:space="0" w:color="A3A3A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text1" w:themeFillTint="33"/>
      </w:tcPr>
    </w:tblStylePr>
    <w:tblStylePr w:type="band1Horz">
      <w:tblPr/>
      <w:tcPr>
        <w:shd w:val="clear" w:color="auto" w:fill="E0E0E0" w:themeFill="text1" w:themeFillTint="33"/>
      </w:tcPr>
    </w:tblStylePr>
  </w:style>
  <w:style w:type="table" w:styleId="ListTable4-Accent3">
    <w:name w:val="List Table 4 Accent 3"/>
    <w:basedOn w:val="TableNormal"/>
    <w:uiPriority w:val="49"/>
    <w:rsid w:val="0009143E"/>
    <w:pPr>
      <w:spacing w:after="0" w:line="240" w:lineRule="auto"/>
    </w:pPr>
    <w:tblPr>
      <w:tblStyleRowBandSize w:val="1"/>
      <w:tblStyleColBandSize w:val="1"/>
      <w:tblBorders>
        <w:top w:val="single" w:sz="4" w:space="0" w:color="71C7BB" w:themeColor="accent3" w:themeTint="99"/>
        <w:left w:val="single" w:sz="4" w:space="0" w:color="71C7BB" w:themeColor="accent3" w:themeTint="99"/>
        <w:bottom w:val="single" w:sz="4" w:space="0" w:color="71C7BB" w:themeColor="accent3" w:themeTint="99"/>
        <w:right w:val="single" w:sz="4" w:space="0" w:color="71C7BB" w:themeColor="accent3" w:themeTint="99"/>
        <w:insideH w:val="single" w:sz="4" w:space="0" w:color="71C7B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8177" w:themeColor="accent3"/>
          <w:left w:val="single" w:sz="4" w:space="0" w:color="338177" w:themeColor="accent3"/>
          <w:bottom w:val="single" w:sz="4" w:space="0" w:color="338177" w:themeColor="accent3"/>
          <w:right w:val="single" w:sz="4" w:space="0" w:color="338177" w:themeColor="accent3"/>
          <w:insideH w:val="nil"/>
        </w:tcBorders>
        <w:shd w:val="clear" w:color="auto" w:fill="338177" w:themeFill="accent3"/>
      </w:tcPr>
    </w:tblStylePr>
    <w:tblStylePr w:type="lastRow">
      <w:rPr>
        <w:b/>
        <w:bCs/>
      </w:rPr>
      <w:tblPr/>
      <w:tcPr>
        <w:tcBorders>
          <w:top w:val="double" w:sz="4" w:space="0" w:color="71C7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8" w:themeFill="accent3" w:themeFillTint="33"/>
      </w:tcPr>
    </w:tblStylePr>
    <w:tblStylePr w:type="band1Horz">
      <w:tblPr/>
      <w:tcPr>
        <w:shd w:val="clear" w:color="auto" w:fill="CFECE8" w:themeFill="accent3" w:themeFillTint="33"/>
      </w:tcPr>
    </w:tblStylePr>
  </w:style>
  <w:style w:type="table" w:styleId="ListTable3-Accent1">
    <w:name w:val="List Table 3 Accent 1"/>
    <w:basedOn w:val="TableNormal"/>
    <w:uiPriority w:val="48"/>
    <w:rsid w:val="00C54352"/>
    <w:pPr>
      <w:spacing w:after="0" w:line="240" w:lineRule="auto"/>
    </w:pPr>
    <w:tblPr>
      <w:tblStyleRowBandSize w:val="1"/>
      <w:tblStyleColBandSize w:val="1"/>
      <w:tblBorders>
        <w:top w:val="single" w:sz="4" w:space="0" w:color="245A8F" w:themeColor="accent1"/>
        <w:left w:val="single" w:sz="4" w:space="0" w:color="245A8F" w:themeColor="accent1"/>
        <w:bottom w:val="single" w:sz="4" w:space="0" w:color="245A8F" w:themeColor="accent1"/>
        <w:right w:val="single" w:sz="4" w:space="0" w:color="245A8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5A8F" w:themeFill="accent1"/>
      </w:tcPr>
    </w:tblStylePr>
    <w:tblStylePr w:type="lastRow">
      <w:rPr>
        <w:b/>
        <w:bCs/>
      </w:rPr>
      <w:tblPr/>
      <w:tcPr>
        <w:tcBorders>
          <w:top w:val="double" w:sz="4" w:space="0" w:color="245A8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5A8F" w:themeColor="accent1"/>
          <w:right w:val="single" w:sz="4" w:space="0" w:color="245A8F" w:themeColor="accent1"/>
        </w:tcBorders>
      </w:tcPr>
    </w:tblStylePr>
    <w:tblStylePr w:type="band1Horz">
      <w:tblPr/>
      <w:tcPr>
        <w:tcBorders>
          <w:top w:val="single" w:sz="4" w:space="0" w:color="245A8F" w:themeColor="accent1"/>
          <w:bottom w:val="single" w:sz="4" w:space="0" w:color="245A8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5A8F" w:themeColor="accent1"/>
          <w:left w:val="nil"/>
        </w:tcBorders>
      </w:tcPr>
    </w:tblStylePr>
    <w:tblStylePr w:type="swCell">
      <w:tblPr/>
      <w:tcPr>
        <w:tcBorders>
          <w:top w:val="double" w:sz="4" w:space="0" w:color="245A8F" w:themeColor="accent1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133224"/>
    <w:rPr>
      <w:rFonts w:asciiTheme="majorHAnsi" w:eastAsiaTheme="majorEastAsia" w:hAnsiTheme="majorHAnsi" w:cstheme="majorBidi"/>
      <w:b/>
      <w:color w:val="338177" w:themeColor="accent3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66F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339EF"/>
    <w:rPr>
      <w:color w:val="245A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9E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72DE7"/>
    <w:rPr>
      <w:rFonts w:asciiTheme="majorHAnsi" w:eastAsiaTheme="majorEastAsia" w:hAnsiTheme="majorHAnsi" w:cstheme="majorBidi"/>
      <w:color w:val="122C47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41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sultations@acnc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CNC">
      <a:dk1>
        <a:srgbClr val="666666"/>
      </a:dk1>
      <a:lt1>
        <a:sysClr val="window" lastClr="FFFFFF"/>
      </a:lt1>
      <a:dk2>
        <a:srgbClr val="000000"/>
      </a:dk2>
      <a:lt2>
        <a:srgbClr val="E7E6E6"/>
      </a:lt2>
      <a:accent1>
        <a:srgbClr val="245A8F"/>
      </a:accent1>
      <a:accent2>
        <a:srgbClr val="97CDD0"/>
      </a:accent2>
      <a:accent3>
        <a:srgbClr val="338177"/>
      </a:accent3>
      <a:accent4>
        <a:srgbClr val="669933"/>
      </a:accent4>
      <a:accent5>
        <a:srgbClr val="CCCC33"/>
      </a:accent5>
      <a:accent6>
        <a:srgbClr val="FFFFFF"/>
      </a:accent6>
      <a:hlink>
        <a:srgbClr val="245A8F"/>
      </a:hlink>
      <a:folHlink>
        <a:srgbClr val="66666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3B8B5804C6742B4485F700BC54AAA" ma:contentTypeVersion="19" ma:contentTypeDescription="Create a new document." ma:contentTypeScope="" ma:versionID="a7daaa0ddb4a6ecde3d295f2fc18c998">
  <xsd:schema xmlns:xsd="http://www.w3.org/2001/XMLSchema" xmlns:xs="http://www.w3.org/2001/XMLSchema" xmlns:p="http://schemas.microsoft.com/office/2006/metadata/properties" xmlns:ns2="0daa6c88-a939-4632-a8ba-2d255ac0a2da" xmlns:ns3="d03d80a1-9331-4677-b730-716b5e63d24a" xmlns:ns4="2e9419c5-e485-488d-b93a-58191a79ff04" targetNamespace="http://schemas.microsoft.com/office/2006/metadata/properties" ma:root="true" ma:fieldsID="9ce2721d81e6acce1f37602e3ebb2660" ns2:_="" ns3:_="" ns4:_="">
    <xsd:import namespace="0daa6c88-a939-4632-a8ba-2d255ac0a2da"/>
    <xsd:import namespace="d03d80a1-9331-4677-b730-716b5e63d24a"/>
    <xsd:import namespace="2e9419c5-e485-488d-b93a-58191a79ff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2:MediaServiceOCR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Owne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a6c88-a939-4632-a8ba-2d255ac0a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wner" ma:index="20" nillable="true" ma:displayName="Owner" ma:format="Dropdown" ma:internalName="Owner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e9e463-09bd-4d51-9e1e-013af29ef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d80a1-9331-4677-b730-716b5e63d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419c5-e485-488d-b93a-58191a79ff0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be651b4-f29f-4e17-be9e-95db1be251eb}" ma:internalName="TaxCatchAll" ma:showField="CatchAllData" ma:web="2e9419c5-e485-488d-b93a-58191a79f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9419c5-e485-488d-b93a-58191a79ff04" xsi:nil="true"/>
    <SharedWithUsers xmlns="d03d80a1-9331-4677-b730-716b5e63d24a">
      <UserInfo>
        <DisplayName/>
        <AccountId xsi:nil="true"/>
        <AccountType/>
      </UserInfo>
    </SharedWithUsers>
    <lcf76f155ced4ddcb4097134ff3c332f xmlns="0daa6c88-a939-4632-a8ba-2d255ac0a2da">
      <Terms xmlns="http://schemas.microsoft.com/office/infopath/2007/PartnerControls"/>
    </lcf76f155ced4ddcb4097134ff3c332f>
    <Owner xmlns="0daa6c88-a939-4632-a8ba-2d255ac0a2da" xsi:nil="true"/>
  </documentManagement>
</p:properties>
</file>

<file path=customXml/itemProps1.xml><?xml version="1.0" encoding="utf-8"?>
<ds:datastoreItem xmlns:ds="http://schemas.openxmlformats.org/officeDocument/2006/customXml" ds:itemID="{4EBF2745-70A4-46EC-8838-8BBEAA0E5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a6c88-a939-4632-a8ba-2d255ac0a2da"/>
    <ds:schemaRef ds:uri="d03d80a1-9331-4677-b730-716b5e63d24a"/>
    <ds:schemaRef ds:uri="2e9419c5-e485-488d-b93a-58191a79f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A114E4-E194-4126-9D51-F9371D1FCB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18E7A1-8B9D-4740-A90A-3894C27178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73E5EE-7C6D-4516-89BD-89D02E2FDFDE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d03d80a1-9331-4677-b730-716b5e63d24a"/>
    <ds:schemaRef ds:uri="2e9419c5-e485-488d-b93a-58191a79ff04"/>
    <ds:schemaRef ds:uri="0daa6c88-a939-4632-a8ba-2d255ac0a2da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Ball</dc:creator>
  <cp:keywords/>
  <dc:description/>
  <cp:lastModifiedBy>Ruby Ramachandran</cp:lastModifiedBy>
  <cp:revision>279</cp:revision>
  <dcterms:created xsi:type="dcterms:W3CDTF">2025-02-25T03:43:00Z</dcterms:created>
  <dcterms:modified xsi:type="dcterms:W3CDTF">2025-03-19T03:59:00Z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0x010100FE93B8B5804C6742B4485F700BC54AAA</vt:lpwstr>
  </property>
  <property fmtid="{D5CDD505-2E9C-101B-9397-08002B2CF9AE}" pid="3" name="Order">
    <vt:r8>198600</vt:r8>
  </property>
  <property fmtid="{D5CDD505-2E9C-101B-9397-08002B2CF9AE}" pid="4" name="ComplianceAssetId">
    <vt:lpwstr/>
  </property>
  <property fmtid="{D5CDD505-2E9C-101B-9397-08002B2CF9AE}" pid="5" name="ClassificationContentMarkingHeaderShapeIds">
    <vt:lpwstr>1,2,4</vt:lpwstr>
  </property>
  <property fmtid="{D5CDD505-2E9C-101B-9397-08002B2CF9AE}" pid="6" name="ClassificationContentMarkingHeaderFontProps">
    <vt:lpwstr>#ff0000,10,Calibri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5,6,7</vt:lpwstr>
  </property>
  <property fmtid="{D5CDD505-2E9C-101B-9397-08002B2CF9AE}" pid="9" name="ClassificationContentMarkingFooterFontProps">
    <vt:lpwstr>#ff0000,10,Calibri</vt:lpwstr>
  </property>
  <property fmtid="{D5CDD505-2E9C-101B-9397-08002B2CF9AE}" pid="10" name="ClassificationContentMarkingFooterText">
    <vt:lpwstr>OFFICIAL</vt:lpwstr>
  </property>
  <property fmtid="{D5CDD505-2E9C-101B-9397-08002B2CF9AE}" pid="11" name="MSIP_Label_02421e9c-e840-43fc-b071-d383f1dfe50f_Enabled">
    <vt:lpwstr>true</vt:lpwstr>
  </property>
  <property fmtid="{D5CDD505-2E9C-101B-9397-08002B2CF9AE}" pid="12" name="MSIP_Label_02421e9c-e840-43fc-b071-d383f1dfe50f_SetDate">
    <vt:lpwstr>2022-06-28T23:56:46Z</vt:lpwstr>
  </property>
  <property fmtid="{D5CDD505-2E9C-101B-9397-08002B2CF9AE}" pid="13" name="MSIP_Label_02421e9c-e840-43fc-b071-d383f1dfe50f_Method">
    <vt:lpwstr>Privileged</vt:lpwstr>
  </property>
  <property fmtid="{D5CDD505-2E9C-101B-9397-08002B2CF9AE}" pid="14" name="MSIP_Label_02421e9c-e840-43fc-b071-d383f1dfe50f_Name">
    <vt:lpwstr>Official</vt:lpwstr>
  </property>
  <property fmtid="{D5CDD505-2E9C-101B-9397-08002B2CF9AE}" pid="15" name="MSIP_Label_02421e9c-e840-43fc-b071-d383f1dfe50f_SiteId">
    <vt:lpwstr>934ddd5c-a4ff-4d51-9e15-6d3e3e2df493</vt:lpwstr>
  </property>
  <property fmtid="{D5CDD505-2E9C-101B-9397-08002B2CF9AE}" pid="16" name="MSIP_Label_02421e9c-e840-43fc-b071-d383f1dfe50f_ActionId">
    <vt:lpwstr>a787cd47-9f52-4938-bb0b-1b1e0b5e1392</vt:lpwstr>
  </property>
  <property fmtid="{D5CDD505-2E9C-101B-9397-08002B2CF9AE}" pid="17" name="MSIP_Label_02421e9c-e840-43fc-b071-d383f1dfe50f_ContentBits">
    <vt:lpwstr>3</vt:lpwstr>
  </property>
  <property fmtid="{D5CDD505-2E9C-101B-9397-08002B2CF9AE}" pid="18" name="MediaServiceImageTags">
    <vt:lpwstr/>
  </property>
</Properties>
</file>