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7F2A438" w:rsidR="001F113C" w:rsidRPr="0048268D" w:rsidRDefault="7DB20377" w:rsidP="04578843">
      <w:pPr>
        <w:pStyle w:val="Title"/>
        <w:rPr>
          <w:lang w:val="en-AU"/>
        </w:rPr>
      </w:pPr>
      <w:r w:rsidRPr="345AD5BB">
        <w:rPr>
          <w:lang w:val="en-AU"/>
        </w:rPr>
        <w:t>Interim c</w:t>
      </w:r>
      <w:r w:rsidR="16F4F93A" w:rsidRPr="345AD5BB">
        <w:rPr>
          <w:lang w:val="en-AU"/>
        </w:rPr>
        <w:t xml:space="preserve">ompendium of feedback and changes </w:t>
      </w:r>
    </w:p>
    <w:p w14:paraId="3B1B3CE3" w14:textId="3B3A5DAA" w:rsidR="66AE6E0A" w:rsidRPr="0048268D" w:rsidRDefault="66AE6E0A" w:rsidP="39A5AF55">
      <w:pPr>
        <w:rPr>
          <w:lang w:val="en-AU"/>
        </w:rPr>
      </w:pPr>
      <w:r w:rsidRPr="0048268D">
        <w:rPr>
          <w:lang w:val="en-AU"/>
        </w:rPr>
        <w:t>This document sets out the feedback we</w:t>
      </w:r>
      <w:r w:rsidR="005D4073">
        <w:rPr>
          <w:lang w:val="en-AU"/>
        </w:rPr>
        <w:t xml:space="preserve"> have</w:t>
      </w:r>
      <w:r w:rsidRPr="0048268D">
        <w:rPr>
          <w:lang w:val="en-AU"/>
        </w:rPr>
        <w:t xml:space="preserve"> received </w:t>
      </w:r>
      <w:r w:rsidR="00786F2C">
        <w:rPr>
          <w:lang w:val="en-AU"/>
        </w:rPr>
        <w:t xml:space="preserve">since we published </w:t>
      </w:r>
      <w:r w:rsidR="005846A5">
        <w:rPr>
          <w:lang w:val="en-AU"/>
        </w:rPr>
        <w:t xml:space="preserve">our last </w:t>
      </w:r>
      <w:r w:rsidR="0016620F">
        <w:rPr>
          <w:lang w:val="en-AU"/>
        </w:rPr>
        <w:t xml:space="preserve">revised </w:t>
      </w:r>
      <w:r w:rsidR="00F76D47">
        <w:rPr>
          <w:lang w:val="en-AU"/>
        </w:rPr>
        <w:t>template constitution in 2023</w:t>
      </w:r>
      <w:r w:rsidR="00FA6DBB">
        <w:rPr>
          <w:lang w:val="en-AU"/>
        </w:rPr>
        <w:t>, including feedback received in our 2024 survey,</w:t>
      </w:r>
      <w:r w:rsidR="00F76D47">
        <w:rPr>
          <w:lang w:val="en-AU"/>
        </w:rPr>
        <w:t xml:space="preserve"> and </w:t>
      </w:r>
      <w:r w:rsidRPr="0048268D">
        <w:rPr>
          <w:lang w:val="en-AU"/>
        </w:rPr>
        <w:t xml:space="preserve">our </w:t>
      </w:r>
      <w:r w:rsidR="00CC63E1">
        <w:rPr>
          <w:lang w:val="en-AU"/>
        </w:rPr>
        <w:t>response</w:t>
      </w:r>
      <w:r w:rsidRPr="0048268D">
        <w:rPr>
          <w:lang w:val="en-AU"/>
        </w:rPr>
        <w:t xml:space="preserve">. </w:t>
      </w:r>
    </w:p>
    <w:p w14:paraId="260A8784" w14:textId="4C7AA0DF" w:rsidR="002C49F3" w:rsidRPr="0048268D" w:rsidRDefault="13ED417B">
      <w:pPr>
        <w:rPr>
          <w:lang w:val="en-AU"/>
        </w:rPr>
      </w:pPr>
      <w:r w:rsidRPr="345AD5BB">
        <w:rPr>
          <w:rFonts w:ascii="Aptos" w:eastAsia="Aptos" w:hAnsi="Aptos" w:cs="Aptos"/>
          <w:lang w:val="en-AU"/>
        </w:rPr>
        <w:t xml:space="preserve">It is not a publication that has been approved to allow you to rely on it for any purpose and is not intended to provide advice or guidance. </w:t>
      </w:r>
    </w:p>
    <w:tbl>
      <w:tblPr>
        <w:tblStyle w:val="TableGrid"/>
        <w:tblW w:w="0" w:type="auto"/>
        <w:tblLook w:val="06A0" w:firstRow="1" w:lastRow="0" w:firstColumn="1" w:lastColumn="0" w:noHBand="1" w:noVBand="1"/>
      </w:tblPr>
      <w:tblGrid>
        <w:gridCol w:w="2035"/>
        <w:gridCol w:w="5716"/>
        <w:gridCol w:w="5199"/>
      </w:tblGrid>
      <w:tr w:rsidR="009C5770" w:rsidRPr="0048268D" w14:paraId="4BD416B1" w14:textId="77777777" w:rsidTr="00506A15">
        <w:trPr>
          <w:trHeight w:val="300"/>
          <w:tblHeader/>
        </w:trPr>
        <w:tc>
          <w:tcPr>
            <w:tcW w:w="0" w:type="auto"/>
          </w:tcPr>
          <w:p w14:paraId="17D886CB" w14:textId="69A51C4B" w:rsidR="645FFBB5" w:rsidRPr="0048268D" w:rsidRDefault="645FFBB5" w:rsidP="39A5AF55">
            <w:pPr>
              <w:rPr>
                <w:b/>
                <w:bCs/>
                <w:lang w:val="en-AU"/>
              </w:rPr>
            </w:pPr>
            <w:r w:rsidRPr="0048268D">
              <w:rPr>
                <w:b/>
                <w:bCs/>
                <w:lang w:val="en-AU"/>
              </w:rPr>
              <w:t xml:space="preserve">Clause </w:t>
            </w:r>
          </w:p>
        </w:tc>
        <w:tc>
          <w:tcPr>
            <w:tcW w:w="0" w:type="auto"/>
          </w:tcPr>
          <w:p w14:paraId="3E94A7EF" w14:textId="4DE1680C" w:rsidR="645FFBB5" w:rsidRPr="0048268D" w:rsidRDefault="645FFBB5" w:rsidP="39A5AF55">
            <w:pPr>
              <w:rPr>
                <w:b/>
                <w:bCs/>
                <w:lang w:val="en-AU"/>
              </w:rPr>
            </w:pPr>
            <w:r w:rsidRPr="0048268D">
              <w:rPr>
                <w:b/>
                <w:bCs/>
                <w:lang w:val="en-AU"/>
              </w:rPr>
              <w:t xml:space="preserve">Feedback </w:t>
            </w:r>
          </w:p>
        </w:tc>
        <w:tc>
          <w:tcPr>
            <w:tcW w:w="0" w:type="auto"/>
          </w:tcPr>
          <w:p w14:paraId="021A4AE6" w14:textId="4085E85D" w:rsidR="645FFBB5" w:rsidRPr="0048268D" w:rsidRDefault="00E4345A" w:rsidP="39A5AF55">
            <w:pPr>
              <w:rPr>
                <w:b/>
                <w:bCs/>
                <w:lang w:val="en-AU"/>
              </w:rPr>
            </w:pPr>
            <w:r w:rsidRPr="0048268D">
              <w:rPr>
                <w:b/>
                <w:bCs/>
                <w:lang w:val="en-AU"/>
              </w:rPr>
              <w:t xml:space="preserve">Comments </w:t>
            </w:r>
            <w:r w:rsidR="645FFBB5" w:rsidRPr="0048268D">
              <w:rPr>
                <w:b/>
                <w:bCs/>
                <w:lang w:val="en-AU"/>
              </w:rPr>
              <w:t xml:space="preserve"> </w:t>
            </w:r>
          </w:p>
        </w:tc>
      </w:tr>
      <w:tr w:rsidR="009C5770" w:rsidRPr="0048268D" w14:paraId="38DAD679" w14:textId="77777777" w:rsidTr="00506A15">
        <w:trPr>
          <w:trHeight w:val="300"/>
        </w:trPr>
        <w:tc>
          <w:tcPr>
            <w:tcW w:w="0" w:type="auto"/>
          </w:tcPr>
          <w:p w14:paraId="2DAC261E" w14:textId="17EE822F" w:rsidR="00800646" w:rsidRPr="00800646" w:rsidRDefault="00800646" w:rsidP="39A5AF55">
            <w:pPr>
              <w:rPr>
                <w:lang w:val="en-AU"/>
              </w:rPr>
            </w:pPr>
            <w:r w:rsidRPr="00800646">
              <w:rPr>
                <w:lang w:val="en-AU"/>
              </w:rPr>
              <w:t xml:space="preserve">Clause </w:t>
            </w:r>
            <w:r w:rsidR="00602117">
              <w:rPr>
                <w:lang w:val="en-AU"/>
              </w:rPr>
              <w:t>8</w:t>
            </w:r>
            <w:r w:rsidRPr="00800646">
              <w:rPr>
                <w:lang w:val="en-AU"/>
              </w:rPr>
              <w:t xml:space="preserve">: </w:t>
            </w:r>
            <w:r w:rsidR="00AF1E36">
              <w:rPr>
                <w:lang w:val="en-AU"/>
              </w:rPr>
              <w:t>P</w:t>
            </w:r>
            <w:r w:rsidRPr="00800646">
              <w:rPr>
                <w:lang w:val="en-AU"/>
              </w:rPr>
              <w:t xml:space="preserve">owers </w:t>
            </w:r>
          </w:p>
        </w:tc>
        <w:tc>
          <w:tcPr>
            <w:tcW w:w="0" w:type="auto"/>
          </w:tcPr>
          <w:p w14:paraId="403F09D1" w14:textId="237085F5" w:rsidR="00800646" w:rsidRPr="00800646" w:rsidRDefault="009E26C0" w:rsidP="39A5AF55">
            <w:pPr>
              <w:rPr>
                <w:lang w:val="en-AU"/>
              </w:rPr>
            </w:pPr>
            <w:r>
              <w:rPr>
                <w:lang w:val="en-AU"/>
              </w:rPr>
              <w:t>This clause oversimplifies the powers of a company limited by guarantee as set out in s 124 of the Corporations Act. This should be set out in full.</w:t>
            </w:r>
          </w:p>
        </w:tc>
        <w:tc>
          <w:tcPr>
            <w:tcW w:w="0" w:type="auto"/>
          </w:tcPr>
          <w:p w14:paraId="4D686440" w14:textId="666A2F44" w:rsidR="00800646" w:rsidRPr="00800646" w:rsidRDefault="00807523" w:rsidP="39A5AF55">
            <w:pPr>
              <w:rPr>
                <w:lang w:val="en-AU"/>
              </w:rPr>
            </w:pPr>
            <w:r>
              <w:rPr>
                <w:lang w:val="en-AU"/>
              </w:rPr>
              <w:t xml:space="preserve">We have retained the simplified wording. </w:t>
            </w:r>
            <w:r w:rsidR="0003764E">
              <w:rPr>
                <w:lang w:val="en-AU"/>
              </w:rPr>
              <w:t xml:space="preserve">Section 124 of the Corporations Act is technical and </w:t>
            </w:r>
            <w:r w:rsidR="00E65F9D">
              <w:rPr>
                <w:lang w:val="en-AU"/>
              </w:rPr>
              <w:t xml:space="preserve">could </w:t>
            </w:r>
            <w:r w:rsidR="0003764E">
              <w:rPr>
                <w:lang w:val="en-AU"/>
              </w:rPr>
              <w:t xml:space="preserve">be confusing to </w:t>
            </w:r>
            <w:r w:rsidR="00787B64">
              <w:rPr>
                <w:lang w:val="en-AU"/>
              </w:rPr>
              <w:t xml:space="preserve">lay </w:t>
            </w:r>
            <w:r w:rsidR="0003764E">
              <w:rPr>
                <w:lang w:val="en-AU"/>
              </w:rPr>
              <w:t>users.</w:t>
            </w:r>
            <w:r w:rsidR="009069F1">
              <w:rPr>
                <w:lang w:val="en-AU"/>
              </w:rPr>
              <w:t xml:space="preserve"> </w:t>
            </w:r>
            <w:r w:rsidR="007F7BB8">
              <w:rPr>
                <w:lang w:val="en-AU"/>
              </w:rPr>
              <w:t xml:space="preserve">We do not consider it necessary to specify the company’s legal capacity and powers </w:t>
            </w:r>
            <w:r w:rsidR="002059F8">
              <w:rPr>
                <w:lang w:val="en-AU"/>
              </w:rPr>
              <w:t xml:space="preserve">for the company to be able to exercise those powers. </w:t>
            </w:r>
          </w:p>
        </w:tc>
      </w:tr>
      <w:tr w:rsidR="009C5770" w:rsidRPr="0048268D" w14:paraId="4D71241F" w14:textId="77777777" w:rsidTr="006F01AF">
        <w:trPr>
          <w:trHeight w:val="300"/>
        </w:trPr>
        <w:tc>
          <w:tcPr>
            <w:tcW w:w="0" w:type="auto"/>
          </w:tcPr>
          <w:p w14:paraId="3DBF5DE5" w14:textId="79B7F468" w:rsidR="00172008" w:rsidRPr="0048268D" w:rsidRDefault="00172008" w:rsidP="39A5AF55">
            <w:pPr>
              <w:rPr>
                <w:lang w:val="en-AU"/>
              </w:rPr>
            </w:pPr>
            <w:r>
              <w:rPr>
                <w:lang w:val="en-AU"/>
              </w:rPr>
              <w:t xml:space="preserve">Clause </w:t>
            </w:r>
            <w:r w:rsidR="00BD3F1C">
              <w:rPr>
                <w:lang w:val="en-AU"/>
              </w:rPr>
              <w:t xml:space="preserve">9: </w:t>
            </w:r>
            <w:r w:rsidR="00EB2410">
              <w:rPr>
                <w:lang w:val="en-AU"/>
              </w:rPr>
              <w:t>N</w:t>
            </w:r>
            <w:r w:rsidR="00BD3F1C">
              <w:rPr>
                <w:lang w:val="en-AU"/>
              </w:rPr>
              <w:t>ot-for-profit</w:t>
            </w:r>
          </w:p>
        </w:tc>
        <w:tc>
          <w:tcPr>
            <w:tcW w:w="0" w:type="auto"/>
          </w:tcPr>
          <w:p w14:paraId="2D227751" w14:textId="77777777" w:rsidR="00172008" w:rsidRDefault="00B810F5" w:rsidP="39A5AF55">
            <w:pPr>
              <w:rPr>
                <w:lang w:val="en-AU"/>
              </w:rPr>
            </w:pPr>
            <w:r>
              <w:rPr>
                <w:lang w:val="en-AU"/>
              </w:rPr>
              <w:t xml:space="preserve">This sub-clause could be clearer as to whether it applies to payments to members which are a charity or to other situations. </w:t>
            </w:r>
          </w:p>
          <w:p w14:paraId="7181EDE2" w14:textId="28C50D29" w:rsidR="00BA22A9" w:rsidRPr="0048268D" w:rsidRDefault="00BA22A9" w:rsidP="39A5AF55">
            <w:pPr>
              <w:rPr>
                <w:lang w:val="en-AU"/>
              </w:rPr>
            </w:pPr>
          </w:p>
        </w:tc>
        <w:tc>
          <w:tcPr>
            <w:tcW w:w="0" w:type="auto"/>
          </w:tcPr>
          <w:p w14:paraId="208FF32F" w14:textId="75E963AE" w:rsidR="00862BC1" w:rsidRPr="0048268D" w:rsidRDefault="007433B5" w:rsidP="39A5AF55">
            <w:pPr>
              <w:rPr>
                <w:lang w:val="en-AU"/>
              </w:rPr>
            </w:pPr>
            <w:r>
              <w:rPr>
                <w:lang w:val="en-AU"/>
              </w:rPr>
              <w:t xml:space="preserve">We have clarified that </w:t>
            </w:r>
            <w:r w:rsidR="00233ADE">
              <w:rPr>
                <w:lang w:val="en-AU"/>
              </w:rPr>
              <w:t xml:space="preserve">clause permits </w:t>
            </w:r>
            <w:r w:rsidR="00AD40D8">
              <w:rPr>
                <w:lang w:val="en-AU"/>
              </w:rPr>
              <w:t xml:space="preserve">payments </w:t>
            </w:r>
            <w:r w:rsidR="002321CE">
              <w:rPr>
                <w:lang w:val="en-AU"/>
              </w:rPr>
              <w:t xml:space="preserve">to members </w:t>
            </w:r>
            <w:r w:rsidR="00AD40D8">
              <w:rPr>
                <w:lang w:val="en-AU"/>
              </w:rPr>
              <w:t xml:space="preserve">in furtherance of the charitable purpose, </w:t>
            </w:r>
            <w:r w:rsidR="00347A6D">
              <w:rPr>
                <w:lang w:val="en-AU"/>
              </w:rPr>
              <w:t xml:space="preserve">via amendment to the clause and in the new guidance note. </w:t>
            </w:r>
          </w:p>
        </w:tc>
      </w:tr>
      <w:tr w:rsidR="009C5770" w:rsidRPr="0048268D" w14:paraId="18EAC4D5" w14:textId="77777777" w:rsidTr="006F01AF">
        <w:trPr>
          <w:trHeight w:val="300"/>
        </w:trPr>
        <w:tc>
          <w:tcPr>
            <w:tcW w:w="0" w:type="auto"/>
          </w:tcPr>
          <w:p w14:paraId="2A7F6A67" w14:textId="7AAAA42A" w:rsidR="39A5AF55" w:rsidRPr="0048268D" w:rsidRDefault="00057599" w:rsidP="39A5AF55">
            <w:pPr>
              <w:rPr>
                <w:lang w:val="en-AU"/>
              </w:rPr>
            </w:pPr>
            <w:r>
              <w:rPr>
                <w:lang w:val="en-AU"/>
              </w:rPr>
              <w:t xml:space="preserve">Clause </w:t>
            </w:r>
            <w:r w:rsidR="00104195">
              <w:rPr>
                <w:lang w:val="en-AU"/>
              </w:rPr>
              <w:t>10</w:t>
            </w:r>
            <w:r>
              <w:rPr>
                <w:lang w:val="en-AU"/>
              </w:rPr>
              <w:t xml:space="preserve">: </w:t>
            </w:r>
            <w:r w:rsidR="00976DBA">
              <w:rPr>
                <w:lang w:val="en-AU"/>
              </w:rPr>
              <w:t>A</w:t>
            </w:r>
            <w:r w:rsidR="00C67843">
              <w:rPr>
                <w:lang w:val="en-AU"/>
              </w:rPr>
              <w:t xml:space="preserve">mending the constitution </w:t>
            </w:r>
          </w:p>
        </w:tc>
        <w:tc>
          <w:tcPr>
            <w:tcW w:w="0" w:type="auto"/>
          </w:tcPr>
          <w:p w14:paraId="044C3FF2" w14:textId="77777777" w:rsidR="39A5AF55" w:rsidRDefault="00C67843" w:rsidP="39A5AF55">
            <w:pPr>
              <w:rPr>
                <w:lang w:val="en-AU"/>
              </w:rPr>
            </w:pPr>
            <w:r>
              <w:rPr>
                <w:lang w:val="en-AU"/>
              </w:rPr>
              <w:t xml:space="preserve">Remove </w:t>
            </w:r>
            <w:r w:rsidR="000161AE">
              <w:rPr>
                <w:lang w:val="en-AU"/>
              </w:rPr>
              <w:t>the wording about when the amendment takes effect</w:t>
            </w:r>
            <w:r>
              <w:rPr>
                <w:lang w:val="en-AU"/>
              </w:rPr>
              <w:t xml:space="preserve">, as </w:t>
            </w:r>
            <w:r w:rsidR="005910EC">
              <w:rPr>
                <w:lang w:val="en-AU"/>
              </w:rPr>
              <w:t>the equivalent section in the Corporations Act applies in any event. The clause is unnecessary and adds to the length and complexity of the constitution.</w:t>
            </w:r>
          </w:p>
          <w:p w14:paraId="6B4BB58F" w14:textId="5AB33C73" w:rsidR="006864D4" w:rsidRPr="0048268D" w:rsidRDefault="006864D4" w:rsidP="39A5AF55">
            <w:pPr>
              <w:rPr>
                <w:lang w:val="en-AU"/>
              </w:rPr>
            </w:pPr>
            <w:r>
              <w:rPr>
                <w:lang w:val="en-AU"/>
              </w:rPr>
              <w:t xml:space="preserve">We have also received feedback that this wording is useful. </w:t>
            </w:r>
          </w:p>
        </w:tc>
        <w:tc>
          <w:tcPr>
            <w:tcW w:w="0" w:type="auto"/>
          </w:tcPr>
          <w:p w14:paraId="5B8DC835" w14:textId="718B9D24" w:rsidR="39A5AF55" w:rsidRPr="0048268D" w:rsidRDefault="006864D4" w:rsidP="39A5AF55">
            <w:pPr>
              <w:rPr>
                <w:lang w:val="en-AU"/>
              </w:rPr>
            </w:pPr>
            <w:r>
              <w:rPr>
                <w:lang w:val="en-AU"/>
              </w:rPr>
              <w:t xml:space="preserve">We have </w:t>
            </w:r>
            <w:r w:rsidR="004C2D42">
              <w:rPr>
                <w:lang w:val="en-AU"/>
              </w:rPr>
              <w:t xml:space="preserve">retained this wording. </w:t>
            </w:r>
            <w:r w:rsidR="005910EC">
              <w:rPr>
                <w:lang w:val="en-AU"/>
              </w:rPr>
              <w:t xml:space="preserve">We consider this sub-clause is useful in </w:t>
            </w:r>
            <w:r w:rsidR="00121DDF">
              <w:rPr>
                <w:lang w:val="en-AU"/>
              </w:rPr>
              <w:t>providing guidance to lay users who may not be aware</w:t>
            </w:r>
            <w:r w:rsidR="009B5C94">
              <w:rPr>
                <w:lang w:val="en-AU"/>
              </w:rPr>
              <w:t xml:space="preserve"> that a special resolution can be expressed to take effect from a later date</w:t>
            </w:r>
            <w:r w:rsidR="00FB1C4C">
              <w:rPr>
                <w:lang w:val="en-AU"/>
              </w:rPr>
              <w:t xml:space="preserve">. </w:t>
            </w:r>
          </w:p>
        </w:tc>
      </w:tr>
      <w:tr w:rsidR="00DD2A87" w:rsidRPr="0048268D" w14:paraId="64C2BA43" w14:textId="77777777" w:rsidTr="006F01AF">
        <w:trPr>
          <w:trHeight w:val="300"/>
        </w:trPr>
        <w:tc>
          <w:tcPr>
            <w:tcW w:w="0" w:type="auto"/>
          </w:tcPr>
          <w:p w14:paraId="440CC8F5" w14:textId="6548464F" w:rsidR="00681E3E" w:rsidRDefault="00976DBA" w:rsidP="39A5AF55">
            <w:pPr>
              <w:rPr>
                <w:lang w:val="en-AU"/>
              </w:rPr>
            </w:pPr>
            <w:r>
              <w:rPr>
                <w:lang w:val="en-AU"/>
              </w:rPr>
              <w:t>Clause 10: Amending the constitution</w:t>
            </w:r>
          </w:p>
        </w:tc>
        <w:tc>
          <w:tcPr>
            <w:tcW w:w="0" w:type="auto"/>
          </w:tcPr>
          <w:p w14:paraId="398634DF" w14:textId="4A8CFED0" w:rsidR="00681E3E" w:rsidRPr="00235D34" w:rsidRDefault="00C264D9" w:rsidP="39A5AF55">
            <w:pPr>
              <w:rPr>
                <w:lang w:val="en-AU"/>
              </w:rPr>
            </w:pPr>
            <w:r w:rsidRPr="00235D34">
              <w:rPr>
                <w:lang w:val="en-AU"/>
              </w:rPr>
              <w:t xml:space="preserve">This clause is not appropriate because it does not ensure that </w:t>
            </w:r>
            <w:r w:rsidR="009C5770" w:rsidRPr="00235D34">
              <w:rPr>
                <w:lang w:val="en-AU"/>
              </w:rPr>
              <w:t xml:space="preserve">for a company amending its constitution (rather than incorporating), the </w:t>
            </w:r>
            <w:r w:rsidR="0087686B" w:rsidRPr="00235D34">
              <w:rPr>
                <w:lang w:val="en-AU"/>
              </w:rPr>
              <w:t>members</w:t>
            </w:r>
            <w:r w:rsidR="009C5770" w:rsidRPr="00235D34">
              <w:rPr>
                <w:lang w:val="en-AU"/>
              </w:rPr>
              <w:t xml:space="preserve"> </w:t>
            </w:r>
            <w:r w:rsidRPr="00235D34">
              <w:rPr>
                <w:lang w:val="en-AU"/>
              </w:rPr>
              <w:t>immediately prior to the adoption of the amended constitution are the members of the company on the adoption of the new constitution.</w:t>
            </w:r>
          </w:p>
        </w:tc>
        <w:tc>
          <w:tcPr>
            <w:tcW w:w="0" w:type="auto"/>
          </w:tcPr>
          <w:p w14:paraId="6CA72EFE" w14:textId="12D855E8" w:rsidR="00681E3E" w:rsidRPr="00235D34" w:rsidRDefault="006721F1" w:rsidP="39A5AF55">
            <w:pPr>
              <w:rPr>
                <w:lang w:val="en-AU"/>
              </w:rPr>
            </w:pPr>
            <w:r w:rsidRPr="00235D34">
              <w:rPr>
                <w:lang w:val="en-AU"/>
              </w:rPr>
              <w:t xml:space="preserve">We have inserted guidance to deal with this point. We </w:t>
            </w:r>
            <w:r w:rsidR="000C668A" w:rsidRPr="00235D34">
              <w:rPr>
                <w:lang w:val="en-AU"/>
              </w:rPr>
              <w:t xml:space="preserve">agree that it can be useful to provide certainty as to the membership. </w:t>
            </w:r>
          </w:p>
        </w:tc>
      </w:tr>
      <w:tr w:rsidR="009C5770" w:rsidRPr="0048268D" w14:paraId="0D3AC91F" w14:textId="77777777" w:rsidTr="006F01AF">
        <w:trPr>
          <w:trHeight w:val="300"/>
        </w:trPr>
        <w:tc>
          <w:tcPr>
            <w:tcW w:w="0" w:type="auto"/>
          </w:tcPr>
          <w:p w14:paraId="046C1678" w14:textId="44594F50" w:rsidR="00AC63CA" w:rsidRDefault="00AC63CA" w:rsidP="39A5AF55">
            <w:pPr>
              <w:rPr>
                <w:lang w:val="en-AU"/>
              </w:rPr>
            </w:pPr>
            <w:r>
              <w:rPr>
                <w:lang w:val="en-AU"/>
              </w:rPr>
              <w:t xml:space="preserve">Clause </w:t>
            </w:r>
            <w:r w:rsidR="00CF0389">
              <w:rPr>
                <w:lang w:val="en-AU"/>
              </w:rPr>
              <w:t>11</w:t>
            </w:r>
            <w:r>
              <w:rPr>
                <w:lang w:val="en-AU"/>
              </w:rPr>
              <w:t xml:space="preserve">: </w:t>
            </w:r>
            <w:r w:rsidR="00A00923">
              <w:rPr>
                <w:lang w:val="en-AU"/>
              </w:rPr>
              <w:t>M</w:t>
            </w:r>
            <w:r>
              <w:rPr>
                <w:lang w:val="en-AU"/>
              </w:rPr>
              <w:t xml:space="preserve">embership </w:t>
            </w:r>
          </w:p>
        </w:tc>
        <w:tc>
          <w:tcPr>
            <w:tcW w:w="0" w:type="auto"/>
          </w:tcPr>
          <w:p w14:paraId="41A6B1CA" w14:textId="05CF4012" w:rsidR="00AC63CA" w:rsidRDefault="00AC63CA" w:rsidP="39A5AF55">
            <w:pPr>
              <w:rPr>
                <w:lang w:val="en-AU"/>
              </w:rPr>
            </w:pPr>
            <w:r>
              <w:rPr>
                <w:lang w:val="en-AU"/>
              </w:rPr>
              <w:t>Include optional membership classes</w:t>
            </w:r>
          </w:p>
        </w:tc>
        <w:tc>
          <w:tcPr>
            <w:tcW w:w="0" w:type="auto"/>
          </w:tcPr>
          <w:p w14:paraId="32FF7511" w14:textId="5E017B61" w:rsidR="00AC63CA" w:rsidRDefault="00DA1460" w:rsidP="39A5AF55">
            <w:pPr>
              <w:rPr>
                <w:lang w:val="en-AU"/>
              </w:rPr>
            </w:pPr>
            <w:r>
              <w:rPr>
                <w:lang w:val="en-AU"/>
              </w:rPr>
              <w:t xml:space="preserve">To avoid adding to the length and complexity, we have opted not to include </w:t>
            </w:r>
            <w:r w:rsidR="00CF0389">
              <w:rPr>
                <w:lang w:val="en-AU"/>
              </w:rPr>
              <w:t xml:space="preserve">clauses regarding additional </w:t>
            </w:r>
            <w:r>
              <w:rPr>
                <w:lang w:val="en-AU"/>
              </w:rPr>
              <w:t xml:space="preserve">membership classes. </w:t>
            </w:r>
            <w:r w:rsidR="00AC63CA">
              <w:rPr>
                <w:lang w:val="en-AU"/>
              </w:rPr>
              <w:t>We’ve included a guidance note</w:t>
            </w:r>
            <w:r w:rsidR="00043C90">
              <w:rPr>
                <w:lang w:val="en-AU"/>
              </w:rPr>
              <w:t xml:space="preserve"> encouraging users to </w:t>
            </w:r>
            <w:r>
              <w:rPr>
                <w:lang w:val="en-AU"/>
              </w:rPr>
              <w:t xml:space="preserve">seek advice if they intend to include multiple classes. </w:t>
            </w:r>
          </w:p>
        </w:tc>
      </w:tr>
      <w:tr w:rsidR="009C5770" w:rsidRPr="0048268D" w14:paraId="0133FF42" w14:textId="77777777" w:rsidTr="006F01AF">
        <w:trPr>
          <w:trHeight w:val="300"/>
        </w:trPr>
        <w:tc>
          <w:tcPr>
            <w:tcW w:w="0" w:type="auto"/>
          </w:tcPr>
          <w:p w14:paraId="25A1882B" w14:textId="27E8BE2B" w:rsidR="39A5AF55" w:rsidRPr="0048268D" w:rsidRDefault="00FF0FE8" w:rsidP="39A5AF55">
            <w:pPr>
              <w:rPr>
                <w:lang w:val="en-AU"/>
              </w:rPr>
            </w:pPr>
            <w:r>
              <w:rPr>
                <w:lang w:val="en-AU"/>
              </w:rPr>
              <w:t xml:space="preserve">Clause </w:t>
            </w:r>
            <w:r w:rsidR="00DD3902">
              <w:rPr>
                <w:lang w:val="en-AU"/>
              </w:rPr>
              <w:t>12</w:t>
            </w:r>
            <w:r>
              <w:rPr>
                <w:lang w:val="en-AU"/>
              </w:rPr>
              <w:t>:</w:t>
            </w:r>
            <w:r w:rsidR="00C67843">
              <w:rPr>
                <w:lang w:val="en-AU"/>
              </w:rPr>
              <w:t xml:space="preserve"> </w:t>
            </w:r>
            <w:r w:rsidR="0095241F">
              <w:rPr>
                <w:lang w:val="en-AU"/>
              </w:rPr>
              <w:t>R</w:t>
            </w:r>
            <w:r w:rsidR="00C67843">
              <w:rPr>
                <w:lang w:val="en-AU"/>
              </w:rPr>
              <w:t>egister</w:t>
            </w:r>
            <w:r w:rsidR="005A55BE">
              <w:rPr>
                <w:lang w:val="en-AU"/>
              </w:rPr>
              <w:t xml:space="preserve"> </w:t>
            </w:r>
            <w:r w:rsidR="00DD3902">
              <w:rPr>
                <w:lang w:val="en-AU"/>
              </w:rPr>
              <w:t>of membe</w:t>
            </w:r>
            <w:r w:rsidR="00214190">
              <w:rPr>
                <w:lang w:val="en-AU"/>
              </w:rPr>
              <w:t xml:space="preserve">rs </w:t>
            </w:r>
          </w:p>
        </w:tc>
        <w:tc>
          <w:tcPr>
            <w:tcW w:w="0" w:type="auto"/>
          </w:tcPr>
          <w:p w14:paraId="3D013486" w14:textId="00FF7B55" w:rsidR="39A5AF55" w:rsidRPr="0048268D" w:rsidRDefault="00FF0FE8" w:rsidP="39A5AF55">
            <w:pPr>
              <w:rPr>
                <w:lang w:val="en-AU"/>
              </w:rPr>
            </w:pPr>
            <w:r>
              <w:rPr>
                <w:lang w:val="en-AU"/>
              </w:rPr>
              <w:t xml:space="preserve">Companies prefer to send materials to email addresses, rather than postal addresses. The clause about members’ registers should reflect this. </w:t>
            </w:r>
          </w:p>
        </w:tc>
        <w:tc>
          <w:tcPr>
            <w:tcW w:w="0" w:type="auto"/>
          </w:tcPr>
          <w:p w14:paraId="6943ACE3" w14:textId="1AD5594A" w:rsidR="39A5AF55" w:rsidRPr="0048268D" w:rsidRDefault="00BA57E3" w:rsidP="39A5AF55">
            <w:pPr>
              <w:rPr>
                <w:lang w:val="en-AU"/>
              </w:rPr>
            </w:pPr>
            <w:r>
              <w:rPr>
                <w:lang w:val="en-AU"/>
              </w:rPr>
              <w:t xml:space="preserve">Section 169 of the Corporations Act requires the register of members to have the member’s </w:t>
            </w:r>
            <w:r w:rsidR="001D095E">
              <w:rPr>
                <w:lang w:val="en-AU"/>
              </w:rPr>
              <w:t xml:space="preserve">name and address. </w:t>
            </w:r>
            <w:r w:rsidR="00AA1F62">
              <w:rPr>
                <w:lang w:val="en-AU"/>
              </w:rPr>
              <w:t xml:space="preserve">The clause has been amended accordingly. </w:t>
            </w:r>
          </w:p>
        </w:tc>
      </w:tr>
      <w:tr w:rsidR="009C5770" w:rsidRPr="0048268D" w14:paraId="30793A1C" w14:textId="77777777" w:rsidTr="006F01AF">
        <w:trPr>
          <w:trHeight w:val="300"/>
        </w:trPr>
        <w:tc>
          <w:tcPr>
            <w:tcW w:w="0" w:type="auto"/>
          </w:tcPr>
          <w:p w14:paraId="3D9FB6A9" w14:textId="1245641D" w:rsidR="00722EE9" w:rsidRDefault="006D17DA" w:rsidP="0064166D">
            <w:pPr>
              <w:tabs>
                <w:tab w:val="left" w:pos="2070"/>
              </w:tabs>
              <w:rPr>
                <w:lang w:val="en-AU"/>
              </w:rPr>
            </w:pPr>
            <w:r>
              <w:rPr>
                <w:lang w:val="en-AU"/>
              </w:rPr>
              <w:t>Clause</w:t>
            </w:r>
            <w:r w:rsidR="003C6B1A">
              <w:rPr>
                <w:lang w:val="en-AU"/>
              </w:rPr>
              <w:t xml:space="preserve"> 13</w:t>
            </w:r>
            <w:r w:rsidR="00792AEF">
              <w:rPr>
                <w:lang w:val="en-AU"/>
              </w:rPr>
              <w:t xml:space="preserve">: </w:t>
            </w:r>
            <w:r w:rsidR="0095241F">
              <w:rPr>
                <w:lang w:val="en-AU"/>
              </w:rPr>
              <w:t>H</w:t>
            </w:r>
            <w:r w:rsidR="00252B4C">
              <w:rPr>
                <w:lang w:val="en-AU"/>
              </w:rPr>
              <w:t>ow to become</w:t>
            </w:r>
            <w:r w:rsidR="00792AEF">
              <w:rPr>
                <w:lang w:val="en-AU"/>
              </w:rPr>
              <w:t xml:space="preserve"> a member</w:t>
            </w:r>
          </w:p>
        </w:tc>
        <w:tc>
          <w:tcPr>
            <w:tcW w:w="0" w:type="auto"/>
          </w:tcPr>
          <w:p w14:paraId="332F4BD6" w14:textId="265DC169" w:rsidR="00722EE9" w:rsidRDefault="00B81FA0" w:rsidP="39A5AF55">
            <w:pPr>
              <w:rPr>
                <w:lang w:val="en-AU"/>
              </w:rPr>
            </w:pPr>
            <w:r>
              <w:rPr>
                <w:lang w:val="en-AU"/>
              </w:rPr>
              <w:t xml:space="preserve">Move </w:t>
            </w:r>
            <w:r w:rsidR="005801A9">
              <w:rPr>
                <w:lang w:val="en-AU"/>
              </w:rPr>
              <w:t>“</w:t>
            </w:r>
            <w:bookmarkStart w:id="0" w:name="_Ref152603050"/>
            <w:r w:rsidR="005801A9">
              <w:t>In this clause, ‘person’ means an individual or incorporated body</w:t>
            </w:r>
            <w:bookmarkEnd w:id="0"/>
            <w:r w:rsidR="005801A9">
              <w:t xml:space="preserve">” </w:t>
            </w:r>
            <w:r>
              <w:t xml:space="preserve">to the definitions section because that definition is used in other clauses. </w:t>
            </w:r>
          </w:p>
        </w:tc>
        <w:tc>
          <w:tcPr>
            <w:tcW w:w="0" w:type="auto"/>
          </w:tcPr>
          <w:p w14:paraId="387D0D6F" w14:textId="191C98D6" w:rsidR="00722EE9" w:rsidRDefault="005C1475" w:rsidP="39A5AF55">
            <w:pPr>
              <w:rPr>
                <w:lang w:val="en-AU"/>
              </w:rPr>
            </w:pPr>
            <w:r>
              <w:rPr>
                <w:lang w:val="en-AU"/>
              </w:rPr>
              <w:t xml:space="preserve">We have </w:t>
            </w:r>
            <w:r w:rsidR="00547FEE">
              <w:rPr>
                <w:lang w:val="en-AU"/>
              </w:rPr>
              <w:t>removed the definition of “person” and instead amended the drafting to clarify that individuals and incorporated bodies can be members.</w:t>
            </w:r>
          </w:p>
        </w:tc>
      </w:tr>
      <w:tr w:rsidR="009C5770" w:rsidRPr="0048268D" w14:paraId="4DBBCAD1" w14:textId="77777777" w:rsidTr="006F01AF">
        <w:trPr>
          <w:trHeight w:val="300"/>
        </w:trPr>
        <w:tc>
          <w:tcPr>
            <w:tcW w:w="0" w:type="auto"/>
          </w:tcPr>
          <w:p w14:paraId="6253D006" w14:textId="37F4E081" w:rsidR="00A417D0" w:rsidRDefault="00A417D0" w:rsidP="39A5AF55">
            <w:pPr>
              <w:rPr>
                <w:lang w:val="en-AU"/>
              </w:rPr>
            </w:pPr>
            <w:r>
              <w:rPr>
                <w:lang w:val="en-AU"/>
              </w:rPr>
              <w:t xml:space="preserve">Clause </w:t>
            </w:r>
            <w:r w:rsidR="00870046">
              <w:rPr>
                <w:lang w:val="en-AU"/>
              </w:rPr>
              <w:t>17</w:t>
            </w:r>
            <w:r>
              <w:rPr>
                <w:lang w:val="en-AU"/>
              </w:rPr>
              <w:t xml:space="preserve">: </w:t>
            </w:r>
            <w:r w:rsidR="0095241F">
              <w:rPr>
                <w:lang w:val="en-AU"/>
              </w:rPr>
              <w:t>M</w:t>
            </w:r>
            <w:r w:rsidR="005A55BE">
              <w:rPr>
                <w:lang w:val="en-AU"/>
              </w:rPr>
              <w:t xml:space="preserve">embership fees </w:t>
            </w:r>
          </w:p>
        </w:tc>
        <w:tc>
          <w:tcPr>
            <w:tcW w:w="0" w:type="auto"/>
          </w:tcPr>
          <w:p w14:paraId="446050B1" w14:textId="6E75AA46" w:rsidR="00A417D0" w:rsidRDefault="00900F70" w:rsidP="39A5AF55">
            <w:pPr>
              <w:rPr>
                <w:lang w:val="en-AU"/>
              </w:rPr>
            </w:pPr>
            <w:r>
              <w:rPr>
                <w:lang w:val="en-AU"/>
              </w:rPr>
              <w:t>T</w:t>
            </w:r>
            <w:r w:rsidR="00CB5DCC">
              <w:rPr>
                <w:lang w:val="en-AU"/>
              </w:rPr>
              <w:t>his clause should have more detail regarding</w:t>
            </w:r>
            <w:r>
              <w:rPr>
                <w:lang w:val="en-AU"/>
              </w:rPr>
              <w:t xml:space="preserve"> the process for</w:t>
            </w:r>
            <w:r w:rsidR="00CB5DCC">
              <w:rPr>
                <w:lang w:val="en-AU"/>
              </w:rPr>
              <w:t xml:space="preserve"> membership fees</w:t>
            </w:r>
            <w:r w:rsidR="00FF31D1">
              <w:rPr>
                <w:lang w:val="en-AU"/>
              </w:rPr>
              <w:t xml:space="preserve"> </w:t>
            </w:r>
            <w:r w:rsidR="00317269" w:rsidRPr="00317269">
              <w:rPr>
                <w:lang w:val="en-AU"/>
              </w:rPr>
              <w:t>or that the details of timing and amounts will be in a membership policy adopted by the directors</w:t>
            </w:r>
            <w:r>
              <w:rPr>
                <w:lang w:val="en-AU"/>
              </w:rPr>
              <w:t xml:space="preserve">. </w:t>
            </w:r>
          </w:p>
        </w:tc>
        <w:tc>
          <w:tcPr>
            <w:tcW w:w="0" w:type="auto"/>
          </w:tcPr>
          <w:p w14:paraId="3E048053" w14:textId="6FD63D0C" w:rsidR="00900F70" w:rsidRDefault="00900F70" w:rsidP="00CF6CA7">
            <w:pPr>
              <w:rPr>
                <w:lang w:val="en-AU"/>
              </w:rPr>
            </w:pPr>
            <w:r>
              <w:rPr>
                <w:lang w:val="en-AU"/>
              </w:rPr>
              <w:t>We considered that this would be too prescriptive for the constitution and would add to its length and complexity.</w:t>
            </w:r>
            <w:r w:rsidR="00CF6CA7">
              <w:rPr>
                <w:lang w:val="en-AU"/>
              </w:rPr>
              <w:t xml:space="preserve"> Instead, w</w:t>
            </w:r>
            <w:r>
              <w:rPr>
                <w:lang w:val="en-AU"/>
              </w:rPr>
              <w:t xml:space="preserve">e have included a guidance note to </w:t>
            </w:r>
            <w:r w:rsidR="0009008E">
              <w:rPr>
                <w:lang w:val="en-AU"/>
              </w:rPr>
              <w:t xml:space="preserve">prompt users to consider the process. </w:t>
            </w:r>
          </w:p>
        </w:tc>
      </w:tr>
      <w:tr w:rsidR="009C5770" w:rsidRPr="0048268D" w14:paraId="4BBEAE62" w14:textId="77777777" w:rsidTr="00CC63E1">
        <w:trPr>
          <w:trHeight w:val="300"/>
        </w:trPr>
        <w:tc>
          <w:tcPr>
            <w:tcW w:w="0" w:type="auto"/>
          </w:tcPr>
          <w:p w14:paraId="27CC8C09" w14:textId="469DD985" w:rsidR="000D451F" w:rsidRDefault="000D451F" w:rsidP="00CC63E1">
            <w:pPr>
              <w:rPr>
                <w:lang w:val="en-AU"/>
              </w:rPr>
            </w:pPr>
            <w:r>
              <w:rPr>
                <w:lang w:val="en-AU"/>
              </w:rPr>
              <w:t>Clause</w:t>
            </w:r>
            <w:r w:rsidR="004E0B7F">
              <w:rPr>
                <w:lang w:val="en-AU"/>
              </w:rPr>
              <w:t xml:space="preserve"> 19</w:t>
            </w:r>
            <w:r>
              <w:rPr>
                <w:lang w:val="en-AU"/>
              </w:rPr>
              <w:t xml:space="preserve">: </w:t>
            </w:r>
            <w:r w:rsidR="0095241F">
              <w:rPr>
                <w:lang w:val="en-AU"/>
              </w:rPr>
              <w:t>D</w:t>
            </w:r>
            <w:r>
              <w:rPr>
                <w:lang w:val="en-AU"/>
              </w:rPr>
              <w:t xml:space="preserve">ispute resolution </w:t>
            </w:r>
          </w:p>
        </w:tc>
        <w:tc>
          <w:tcPr>
            <w:tcW w:w="0" w:type="auto"/>
          </w:tcPr>
          <w:p w14:paraId="6D250AAF" w14:textId="77777777" w:rsidR="000D451F" w:rsidRDefault="000D451F" w:rsidP="00CC63E1">
            <w:pPr>
              <w:rPr>
                <w:lang w:val="en-AU"/>
              </w:rPr>
            </w:pPr>
            <w:r w:rsidRPr="007D1139">
              <w:rPr>
                <w:lang w:val="en-AU"/>
              </w:rPr>
              <w:t>Providing resources for customization and including mechanisms for review and dispute resolution would further strengthen the document</w:t>
            </w:r>
          </w:p>
        </w:tc>
        <w:tc>
          <w:tcPr>
            <w:tcW w:w="0" w:type="auto"/>
          </w:tcPr>
          <w:p w14:paraId="4117DE79" w14:textId="0DC359AD" w:rsidR="000D451F" w:rsidRDefault="005749A9" w:rsidP="00CC63E1">
            <w:pPr>
              <w:rPr>
                <w:lang w:val="en-AU"/>
              </w:rPr>
            </w:pPr>
            <w:r>
              <w:rPr>
                <w:lang w:val="en-AU"/>
              </w:rPr>
              <w:t xml:space="preserve">We have </w:t>
            </w:r>
            <w:r w:rsidR="003766A2">
              <w:rPr>
                <w:lang w:val="en-AU"/>
              </w:rPr>
              <w:t xml:space="preserve">expanded the clauses regarding dispute resolution and </w:t>
            </w:r>
            <w:r w:rsidR="00B37A57">
              <w:rPr>
                <w:lang w:val="en-AU"/>
              </w:rPr>
              <w:t xml:space="preserve">added a guidance note indicating that it can be customised. </w:t>
            </w:r>
          </w:p>
        </w:tc>
      </w:tr>
      <w:tr w:rsidR="009C5770" w:rsidRPr="0048268D" w14:paraId="418E96B1" w14:textId="77777777" w:rsidTr="006F01AF">
        <w:trPr>
          <w:trHeight w:val="300"/>
        </w:trPr>
        <w:tc>
          <w:tcPr>
            <w:tcW w:w="0" w:type="auto"/>
          </w:tcPr>
          <w:p w14:paraId="1169CF9F" w14:textId="641C87CA" w:rsidR="00037D96" w:rsidRPr="0048268D" w:rsidRDefault="00037D96" w:rsidP="39A5AF55">
            <w:pPr>
              <w:rPr>
                <w:lang w:val="en-AU"/>
              </w:rPr>
            </w:pPr>
            <w:r w:rsidRPr="0048268D">
              <w:rPr>
                <w:lang w:val="en-AU"/>
              </w:rPr>
              <w:t xml:space="preserve">Clause </w:t>
            </w:r>
            <w:r w:rsidR="001A4DDD" w:rsidRPr="001A4DDD">
              <w:rPr>
                <w:lang w:val="en-AU"/>
              </w:rPr>
              <w:t>23</w:t>
            </w:r>
            <w:r w:rsidR="001A4DDD">
              <w:rPr>
                <w:lang w:val="en-AU"/>
              </w:rPr>
              <w:t xml:space="preserve">: </w:t>
            </w:r>
            <w:r w:rsidR="0095241F">
              <w:rPr>
                <w:lang w:val="en-AU"/>
              </w:rPr>
              <w:t>D</w:t>
            </w:r>
            <w:r w:rsidR="001A4DDD" w:rsidRPr="001A4DDD">
              <w:rPr>
                <w:lang w:val="en-AU"/>
              </w:rPr>
              <w:t>irectors can call a general meeting</w:t>
            </w:r>
          </w:p>
          <w:p w14:paraId="2CE4C7F1" w14:textId="564B8ED7" w:rsidR="00037D96" w:rsidRPr="0048268D" w:rsidRDefault="00037D96" w:rsidP="39A5AF55">
            <w:pPr>
              <w:rPr>
                <w:lang w:val="en-AU"/>
              </w:rPr>
            </w:pPr>
          </w:p>
        </w:tc>
        <w:tc>
          <w:tcPr>
            <w:tcW w:w="0" w:type="auto"/>
          </w:tcPr>
          <w:p w14:paraId="7AB589AA" w14:textId="5EF2DCF9" w:rsidR="004C6F85" w:rsidRDefault="00037D96" w:rsidP="004C6F85">
            <w:pPr>
              <w:rPr>
                <w:lang w:val="en-AU"/>
              </w:rPr>
            </w:pPr>
            <w:r w:rsidRPr="0048268D">
              <w:rPr>
                <w:lang w:val="en-AU"/>
              </w:rPr>
              <w:t xml:space="preserve">Feedback received that </w:t>
            </w:r>
            <w:r w:rsidR="000F39F9">
              <w:rPr>
                <w:lang w:val="en-AU"/>
              </w:rPr>
              <w:t xml:space="preserve">having no AGM clause </w:t>
            </w:r>
            <w:r w:rsidRPr="0048268D">
              <w:rPr>
                <w:lang w:val="en-AU"/>
              </w:rPr>
              <w:t xml:space="preserve">may be confusing for </w:t>
            </w:r>
            <w:r w:rsidR="001C6A48" w:rsidRPr="0048268D">
              <w:rPr>
                <w:lang w:val="en-AU"/>
              </w:rPr>
              <w:t xml:space="preserve">organisations </w:t>
            </w:r>
            <w:r w:rsidR="0048268D">
              <w:rPr>
                <w:lang w:val="en-AU"/>
              </w:rPr>
              <w:t xml:space="preserve">which revoke registration because </w:t>
            </w:r>
            <w:r w:rsidR="00357275">
              <w:rPr>
                <w:lang w:val="en-AU"/>
              </w:rPr>
              <w:t xml:space="preserve">holding an AGM </w:t>
            </w:r>
            <w:r w:rsidR="00737832">
              <w:rPr>
                <w:lang w:val="en-AU"/>
              </w:rPr>
              <w:t xml:space="preserve">is </w:t>
            </w:r>
            <w:r w:rsidR="00357275">
              <w:rPr>
                <w:lang w:val="en-AU"/>
              </w:rPr>
              <w:t>mandatory</w:t>
            </w:r>
            <w:r w:rsidR="00737832">
              <w:rPr>
                <w:lang w:val="en-AU"/>
              </w:rPr>
              <w:t xml:space="preserve"> if the company is not a registered charity</w:t>
            </w:r>
            <w:r w:rsidR="008847D8">
              <w:rPr>
                <w:lang w:val="en-AU"/>
              </w:rPr>
              <w:t>.</w:t>
            </w:r>
          </w:p>
          <w:p w14:paraId="42918A0E" w14:textId="72D0BCF5" w:rsidR="00425810" w:rsidRPr="0048268D" w:rsidRDefault="004C6F85" w:rsidP="39A5AF55">
            <w:pPr>
              <w:rPr>
                <w:lang w:val="en-AU"/>
              </w:rPr>
            </w:pPr>
            <w:r>
              <w:rPr>
                <w:lang w:val="en-AU"/>
              </w:rPr>
              <w:t xml:space="preserve"> </w:t>
            </w:r>
          </w:p>
        </w:tc>
        <w:tc>
          <w:tcPr>
            <w:tcW w:w="0" w:type="auto"/>
          </w:tcPr>
          <w:p w14:paraId="36D288B1" w14:textId="7EDDC9F8" w:rsidR="00F95281" w:rsidRPr="0048268D" w:rsidRDefault="00E729BB" w:rsidP="008B13A3">
            <w:pPr>
              <w:rPr>
                <w:lang w:val="en-AU"/>
              </w:rPr>
            </w:pPr>
            <w:r>
              <w:rPr>
                <w:lang w:val="en-AU"/>
              </w:rPr>
              <w:t>We removed the mandatory AGM clause following earlier feedback noting that registered charitable companies are not required to hold AGMs</w:t>
            </w:r>
            <w:r w:rsidR="00A04DD9">
              <w:rPr>
                <w:lang w:val="en-AU"/>
              </w:rPr>
              <w:t>. The clause has been amended to clarify further and in-document guidance inserted to provide further information</w:t>
            </w:r>
            <w:r w:rsidR="003E66CF">
              <w:rPr>
                <w:lang w:val="en-AU"/>
              </w:rPr>
              <w:t xml:space="preserve"> and a template clause for mandatory AGMs</w:t>
            </w:r>
            <w:r w:rsidR="00A04DD9">
              <w:rPr>
                <w:lang w:val="en-AU"/>
              </w:rPr>
              <w:t xml:space="preserve">. </w:t>
            </w:r>
          </w:p>
        </w:tc>
      </w:tr>
      <w:tr w:rsidR="003645A9" w:rsidRPr="0048268D" w14:paraId="51C5A776" w14:textId="77777777" w:rsidTr="00CC63E1">
        <w:trPr>
          <w:trHeight w:val="300"/>
        </w:trPr>
        <w:tc>
          <w:tcPr>
            <w:tcW w:w="0" w:type="auto"/>
          </w:tcPr>
          <w:p w14:paraId="421C5169" w14:textId="67E970C9" w:rsidR="003645A9" w:rsidRDefault="003645A9" w:rsidP="003645A9">
            <w:pPr>
              <w:rPr>
                <w:lang w:val="en-AU"/>
              </w:rPr>
            </w:pPr>
            <w:r>
              <w:rPr>
                <w:lang w:val="en-AU"/>
              </w:rPr>
              <w:t xml:space="preserve">Clause 24: </w:t>
            </w:r>
            <w:r w:rsidRPr="0035724D">
              <w:rPr>
                <w:lang w:val="en-AU"/>
              </w:rPr>
              <w:t>How a member can call a meeting</w:t>
            </w:r>
          </w:p>
        </w:tc>
        <w:tc>
          <w:tcPr>
            <w:tcW w:w="0" w:type="auto"/>
          </w:tcPr>
          <w:p w14:paraId="536BF785" w14:textId="77777777" w:rsidR="003645A9" w:rsidRDefault="003645A9" w:rsidP="003645A9">
            <w:pPr>
              <w:rPr>
                <w:lang w:val="en-AU"/>
              </w:rPr>
            </w:pPr>
            <w:r>
              <w:rPr>
                <w:lang w:val="en-AU"/>
              </w:rPr>
              <w:t xml:space="preserve">Change the percentage of members who can call a meeting, dependent on the size of the company. 5% is too low for a small organisation. </w:t>
            </w:r>
          </w:p>
        </w:tc>
        <w:tc>
          <w:tcPr>
            <w:tcW w:w="0" w:type="auto"/>
          </w:tcPr>
          <w:p w14:paraId="70038301" w14:textId="0B86D2A2" w:rsidR="003645A9" w:rsidRDefault="003645A9" w:rsidP="003645A9">
            <w:pPr>
              <w:rPr>
                <w:lang w:val="en-AU"/>
              </w:rPr>
            </w:pPr>
            <w:r>
              <w:rPr>
                <w:lang w:val="en-AU"/>
              </w:rPr>
              <w:t xml:space="preserve">For companies which are not registered charities, the Corporations Act allows 5% of members to call a meeting. This section is turned off for registered charities who could therefore change the percentage. We have put in a guidance note to clarify this. </w:t>
            </w:r>
          </w:p>
        </w:tc>
      </w:tr>
      <w:tr w:rsidR="009C5770" w:rsidRPr="0048268D" w14:paraId="01F903AE" w14:textId="77777777" w:rsidTr="006F01AF">
        <w:trPr>
          <w:trHeight w:val="300"/>
        </w:trPr>
        <w:tc>
          <w:tcPr>
            <w:tcW w:w="0" w:type="auto"/>
          </w:tcPr>
          <w:p w14:paraId="5C7657CA" w14:textId="1835909D" w:rsidR="002D5413" w:rsidRPr="0048268D" w:rsidRDefault="000A38E6" w:rsidP="39A5AF55">
            <w:pPr>
              <w:rPr>
                <w:lang w:val="en-AU"/>
              </w:rPr>
            </w:pPr>
            <w:r>
              <w:rPr>
                <w:lang w:val="en-AU"/>
              </w:rPr>
              <w:t xml:space="preserve">Clause </w:t>
            </w:r>
            <w:r w:rsidR="005A1DB8">
              <w:rPr>
                <w:lang w:val="en-AU"/>
              </w:rPr>
              <w:t>24</w:t>
            </w:r>
            <w:r>
              <w:rPr>
                <w:lang w:val="en-AU"/>
              </w:rPr>
              <w:t xml:space="preserve">: </w:t>
            </w:r>
            <w:r w:rsidR="0035724D" w:rsidRPr="0035724D">
              <w:rPr>
                <w:lang w:val="en-AU"/>
              </w:rPr>
              <w:t>How a member can call a meeting</w:t>
            </w:r>
          </w:p>
        </w:tc>
        <w:tc>
          <w:tcPr>
            <w:tcW w:w="0" w:type="auto"/>
          </w:tcPr>
          <w:p w14:paraId="4312BC3F" w14:textId="64793091" w:rsidR="002D5413" w:rsidRPr="0048268D" w:rsidRDefault="00DF7E7F" w:rsidP="39A5AF55">
            <w:pPr>
              <w:rPr>
                <w:lang w:val="en-AU"/>
              </w:rPr>
            </w:pPr>
            <w:r>
              <w:rPr>
                <w:lang w:val="en-AU"/>
              </w:rPr>
              <w:t xml:space="preserve">Rather than have a sub clause about the members signing a physical or electronic copy, we should have a general interpretation rule about signing. </w:t>
            </w:r>
          </w:p>
        </w:tc>
        <w:tc>
          <w:tcPr>
            <w:tcW w:w="0" w:type="auto"/>
          </w:tcPr>
          <w:p w14:paraId="40CC8AE3" w14:textId="4C33722F" w:rsidR="002D5413" w:rsidRDefault="00FB7F24" w:rsidP="008B13A3">
            <w:pPr>
              <w:rPr>
                <w:lang w:val="en-AU"/>
              </w:rPr>
            </w:pPr>
            <w:r>
              <w:rPr>
                <w:lang w:val="en-AU"/>
              </w:rPr>
              <w:t xml:space="preserve">Adopted. </w:t>
            </w:r>
          </w:p>
        </w:tc>
      </w:tr>
      <w:tr w:rsidR="009A069C" w:rsidRPr="0048268D" w14:paraId="45995334" w14:textId="77777777" w:rsidTr="006F01AF">
        <w:trPr>
          <w:trHeight w:val="300"/>
        </w:trPr>
        <w:tc>
          <w:tcPr>
            <w:tcW w:w="0" w:type="auto"/>
          </w:tcPr>
          <w:p w14:paraId="771C0689" w14:textId="64139347" w:rsidR="009A069C" w:rsidRDefault="009A069C" w:rsidP="009A069C">
            <w:pPr>
              <w:rPr>
                <w:lang w:val="en-AU"/>
              </w:rPr>
            </w:pPr>
            <w:r>
              <w:rPr>
                <w:lang w:val="en-AU"/>
              </w:rPr>
              <w:t xml:space="preserve">Clause 24: </w:t>
            </w:r>
            <w:r w:rsidRPr="0035724D">
              <w:rPr>
                <w:lang w:val="en-AU"/>
              </w:rPr>
              <w:t>How a member can call a meeting</w:t>
            </w:r>
          </w:p>
        </w:tc>
        <w:tc>
          <w:tcPr>
            <w:tcW w:w="0" w:type="auto"/>
          </w:tcPr>
          <w:p w14:paraId="09339CA6" w14:textId="7DE98AB8" w:rsidR="009A069C" w:rsidRDefault="009A069C" w:rsidP="009A069C">
            <w:pPr>
              <w:rPr>
                <w:lang w:val="en-AU"/>
              </w:rPr>
            </w:pPr>
            <w:r w:rsidRPr="009A069C">
              <w:rPr>
                <w:lang w:val="en-AU"/>
              </w:rPr>
              <w:t>Include a separate provision to allow for the calling of short notice for AGMs to ensure compliance with section 249H of the Corporations Act in circumstances when a CLG is yet to be registered with the ACNC or is no longer registered as a charity</w:t>
            </w:r>
            <w:r w:rsidR="00187107">
              <w:rPr>
                <w:lang w:val="en-AU"/>
              </w:rPr>
              <w:t xml:space="preserve">. </w:t>
            </w:r>
          </w:p>
        </w:tc>
        <w:tc>
          <w:tcPr>
            <w:tcW w:w="0" w:type="auto"/>
          </w:tcPr>
          <w:p w14:paraId="1C0D4EEB" w14:textId="6C016217" w:rsidR="009A069C" w:rsidRDefault="00F319C1" w:rsidP="009A069C">
            <w:pPr>
              <w:rPr>
                <w:lang w:val="en-AU"/>
              </w:rPr>
            </w:pPr>
            <w:r>
              <w:rPr>
                <w:lang w:val="en-AU"/>
              </w:rPr>
              <w:t>Adopted.</w:t>
            </w:r>
          </w:p>
        </w:tc>
      </w:tr>
      <w:tr w:rsidR="009A069C" w:rsidRPr="0048268D" w14:paraId="334B79E8" w14:textId="77777777" w:rsidTr="006F01AF">
        <w:trPr>
          <w:trHeight w:val="300"/>
        </w:trPr>
        <w:tc>
          <w:tcPr>
            <w:tcW w:w="0" w:type="auto"/>
          </w:tcPr>
          <w:p w14:paraId="0FF1A1DE" w14:textId="65F7FDF4" w:rsidR="009A069C" w:rsidRDefault="009A069C" w:rsidP="009A069C">
            <w:pPr>
              <w:rPr>
                <w:lang w:val="en-AU"/>
              </w:rPr>
            </w:pPr>
            <w:r>
              <w:rPr>
                <w:lang w:val="en-AU"/>
              </w:rPr>
              <w:t xml:space="preserve">Clause 26: </w:t>
            </w:r>
            <w:r w:rsidR="00875920">
              <w:rPr>
                <w:lang w:val="en-AU"/>
              </w:rPr>
              <w:t>U</w:t>
            </w:r>
            <w:r>
              <w:rPr>
                <w:lang w:val="en-AU"/>
              </w:rPr>
              <w:t xml:space="preserve">sing technology to hold meetings. </w:t>
            </w:r>
          </w:p>
          <w:p w14:paraId="07851CE8" w14:textId="2EDD1AA0" w:rsidR="009A069C" w:rsidRPr="0048268D" w:rsidRDefault="009A069C" w:rsidP="009A069C">
            <w:pPr>
              <w:rPr>
                <w:lang w:val="en-AU"/>
              </w:rPr>
            </w:pPr>
          </w:p>
        </w:tc>
        <w:tc>
          <w:tcPr>
            <w:tcW w:w="0" w:type="auto"/>
          </w:tcPr>
          <w:p w14:paraId="15B7064A" w14:textId="45D6E3CC" w:rsidR="009A069C" w:rsidRPr="0048268D" w:rsidRDefault="009A069C" w:rsidP="009A069C">
            <w:pPr>
              <w:rPr>
                <w:lang w:val="en-AU"/>
              </w:rPr>
            </w:pPr>
            <w:r>
              <w:rPr>
                <w:lang w:val="en-AU"/>
              </w:rPr>
              <w:t xml:space="preserve">Feedback received that the use of “virtual meeting platform” is confusing because the Corporations Act uses “virtual meeting technology” </w:t>
            </w:r>
          </w:p>
        </w:tc>
        <w:tc>
          <w:tcPr>
            <w:tcW w:w="0" w:type="auto"/>
          </w:tcPr>
          <w:p w14:paraId="0A43B131" w14:textId="34E78D49" w:rsidR="009A069C" w:rsidRPr="0048268D" w:rsidRDefault="009A069C" w:rsidP="009A069C">
            <w:pPr>
              <w:rPr>
                <w:lang w:val="en-AU"/>
              </w:rPr>
            </w:pPr>
            <w:r>
              <w:rPr>
                <w:lang w:val="en-AU"/>
              </w:rPr>
              <w:t xml:space="preserve">The Corporations Act permits the use of virtual meeting technology if it enables members to ask questions orally and in writing. We have therefore defined the term “virtual meeting platform” to convey that the platform must have both capabilities. </w:t>
            </w:r>
          </w:p>
        </w:tc>
      </w:tr>
      <w:tr w:rsidR="009A069C" w:rsidRPr="0048268D" w14:paraId="458522EF" w14:textId="77777777" w:rsidTr="006F01AF">
        <w:trPr>
          <w:trHeight w:val="300"/>
        </w:trPr>
        <w:tc>
          <w:tcPr>
            <w:tcW w:w="0" w:type="auto"/>
          </w:tcPr>
          <w:p w14:paraId="1DF86138" w14:textId="782A2970" w:rsidR="009A069C" w:rsidRDefault="009A069C" w:rsidP="009A069C">
            <w:pPr>
              <w:rPr>
                <w:lang w:val="en-AU"/>
              </w:rPr>
            </w:pPr>
            <w:r>
              <w:rPr>
                <w:lang w:val="en-AU"/>
              </w:rPr>
              <w:t xml:space="preserve">Clause </w:t>
            </w:r>
            <w:r w:rsidRPr="0085626C">
              <w:rPr>
                <w:lang w:val="en-AU"/>
              </w:rPr>
              <w:t>30</w:t>
            </w:r>
            <w:r>
              <w:rPr>
                <w:lang w:val="en-AU"/>
              </w:rPr>
              <w:t xml:space="preserve">: </w:t>
            </w:r>
            <w:r w:rsidRPr="0085626C">
              <w:rPr>
                <w:lang w:val="en-AU"/>
              </w:rPr>
              <w:t xml:space="preserve">Quorum must be present </w:t>
            </w:r>
            <w:r>
              <w:rPr>
                <w:lang w:val="en-AU"/>
              </w:rPr>
              <w:t xml:space="preserve"> </w:t>
            </w:r>
          </w:p>
        </w:tc>
        <w:tc>
          <w:tcPr>
            <w:tcW w:w="0" w:type="auto"/>
          </w:tcPr>
          <w:p w14:paraId="43BB3B8F" w14:textId="77777777" w:rsidR="009A069C" w:rsidRDefault="009A069C" w:rsidP="009A069C">
            <w:pPr>
              <w:rPr>
                <w:lang w:val="en-AU"/>
              </w:rPr>
            </w:pPr>
            <w:r>
              <w:rPr>
                <w:lang w:val="en-AU"/>
              </w:rPr>
              <w:t xml:space="preserve">Clarify whether a quorum must remain for the whole general meeting. Charities have interpreted this clause to mean that business dealt with while a quorum was present was not validly dealt with if a quorum was not present later at the meeting. </w:t>
            </w:r>
          </w:p>
          <w:p w14:paraId="78E78A01" w14:textId="77777777" w:rsidR="009A069C" w:rsidRDefault="009A069C" w:rsidP="009A069C">
            <w:pPr>
              <w:rPr>
                <w:lang w:val="en-AU"/>
              </w:rPr>
            </w:pPr>
          </w:p>
          <w:p w14:paraId="5CB65C3C" w14:textId="436224F0" w:rsidR="009A069C" w:rsidRDefault="009A069C" w:rsidP="009A069C">
            <w:pPr>
              <w:rPr>
                <w:lang w:val="en-AU"/>
              </w:rPr>
            </w:pPr>
            <w:r>
              <w:rPr>
                <w:lang w:val="en-AU"/>
              </w:rPr>
              <w:t xml:space="preserve">Confirm whether there is still a minimum quorum required for NSW fundraising licences. </w:t>
            </w:r>
          </w:p>
        </w:tc>
        <w:tc>
          <w:tcPr>
            <w:tcW w:w="0" w:type="auto"/>
          </w:tcPr>
          <w:p w14:paraId="4F7CB7AD" w14:textId="6521525A" w:rsidR="009A069C" w:rsidRDefault="009A069C" w:rsidP="009A069C">
            <w:pPr>
              <w:rPr>
                <w:lang w:val="en-AU"/>
              </w:rPr>
            </w:pPr>
            <w:r>
              <w:rPr>
                <w:lang w:val="en-AU"/>
              </w:rPr>
              <w:t xml:space="preserve">We confirm that the intent of clause 30 is that a quorum must be present for the whole general meeting. The clause has been revised to make this clear and a guidance note inserted. </w:t>
            </w:r>
          </w:p>
          <w:p w14:paraId="426223AC" w14:textId="77777777" w:rsidR="009A069C" w:rsidRDefault="009A069C" w:rsidP="009A069C">
            <w:pPr>
              <w:rPr>
                <w:lang w:val="en-AU"/>
              </w:rPr>
            </w:pPr>
          </w:p>
          <w:p w14:paraId="7EB66872" w14:textId="77777777" w:rsidR="009A069C" w:rsidRDefault="009A069C" w:rsidP="009A069C">
            <w:pPr>
              <w:rPr>
                <w:lang w:val="en-AU"/>
              </w:rPr>
            </w:pPr>
            <w:r>
              <w:rPr>
                <w:lang w:val="en-AU"/>
              </w:rPr>
              <w:t xml:space="preserve">The law permits companies to either require a quorum for the whole general meeting (as set out in s 249T in the Corporations Act) or allow business to be validly transacted if a quorum was present at the time when the meeting proceeds to business (Ford, Austin and Ramsay’s Principles of Corporation Law, section 7.500). We have adopted the former approach. </w:t>
            </w:r>
          </w:p>
          <w:p w14:paraId="2E718E14" w14:textId="77777777" w:rsidR="009A069C" w:rsidRDefault="009A069C" w:rsidP="009A069C">
            <w:pPr>
              <w:rPr>
                <w:lang w:val="en-AU"/>
              </w:rPr>
            </w:pPr>
          </w:p>
          <w:p w14:paraId="5AFD6128" w14:textId="384DC06E" w:rsidR="009A069C" w:rsidRPr="0048268D" w:rsidRDefault="009A069C" w:rsidP="009A069C">
            <w:pPr>
              <w:rPr>
                <w:lang w:val="en-AU"/>
              </w:rPr>
            </w:pPr>
            <w:r>
              <w:rPr>
                <w:lang w:val="en-AU"/>
              </w:rPr>
              <w:t xml:space="preserve">NSW fundraising licences require a minimum quorum for meetings of the Responsible People. </w:t>
            </w:r>
          </w:p>
        </w:tc>
      </w:tr>
      <w:tr w:rsidR="009A069C" w:rsidRPr="0048268D" w14:paraId="046CEC03" w14:textId="77777777" w:rsidTr="006F01AF">
        <w:trPr>
          <w:trHeight w:val="300"/>
        </w:trPr>
        <w:tc>
          <w:tcPr>
            <w:tcW w:w="0" w:type="auto"/>
          </w:tcPr>
          <w:p w14:paraId="18FFA1E9" w14:textId="77A47BEA" w:rsidR="009A069C" w:rsidRDefault="009A069C" w:rsidP="009A069C">
            <w:pPr>
              <w:rPr>
                <w:lang w:val="en-AU"/>
              </w:rPr>
            </w:pPr>
            <w:r>
              <w:rPr>
                <w:lang w:val="en-AU"/>
              </w:rPr>
              <w:t xml:space="preserve">Clause 39: Resolutions without meetings </w:t>
            </w:r>
          </w:p>
        </w:tc>
        <w:tc>
          <w:tcPr>
            <w:tcW w:w="0" w:type="auto"/>
          </w:tcPr>
          <w:p w14:paraId="21F33340" w14:textId="61786578" w:rsidR="009A069C" w:rsidRDefault="009A069C" w:rsidP="009A069C">
            <w:pPr>
              <w:rPr>
                <w:lang w:val="en-AU"/>
              </w:rPr>
            </w:pPr>
            <w:r>
              <w:rPr>
                <w:lang w:val="en-AU"/>
              </w:rPr>
              <w:t xml:space="preserve">Unanimous assent can be prohibitive. 75% would be better as it is higher than what is required for an ordinary resolution but allows for written resolutions to occur even if </w:t>
            </w:r>
            <w:r w:rsidRPr="00CB4326">
              <w:rPr>
                <w:lang w:val="en-AU"/>
              </w:rPr>
              <w:t>several members are unresponsive or out of contact</w:t>
            </w:r>
          </w:p>
        </w:tc>
        <w:tc>
          <w:tcPr>
            <w:tcW w:w="0" w:type="auto"/>
          </w:tcPr>
          <w:p w14:paraId="0A01DC4B" w14:textId="7E62EECA" w:rsidR="009A069C" w:rsidRDefault="009A069C" w:rsidP="009A069C">
            <w:pPr>
              <w:rPr>
                <w:lang w:val="en-AU"/>
              </w:rPr>
            </w:pPr>
            <w:r>
              <w:rPr>
                <w:lang w:val="en-AU"/>
              </w:rPr>
              <w:t xml:space="preserve">We have retained unanimous consent, to ensure that all members have the opportunity to have their voice heard on the resolution.  </w:t>
            </w:r>
          </w:p>
        </w:tc>
      </w:tr>
      <w:tr w:rsidR="009A069C" w:rsidRPr="0048268D" w14:paraId="3AB13955" w14:textId="77777777" w:rsidTr="006F01AF">
        <w:trPr>
          <w:trHeight w:val="300"/>
        </w:trPr>
        <w:tc>
          <w:tcPr>
            <w:tcW w:w="0" w:type="auto"/>
          </w:tcPr>
          <w:p w14:paraId="2C1C5194" w14:textId="0B0039FA" w:rsidR="009A069C" w:rsidRDefault="009A069C" w:rsidP="009A069C">
            <w:pPr>
              <w:rPr>
                <w:lang w:val="en-AU"/>
              </w:rPr>
            </w:pPr>
            <w:r>
              <w:rPr>
                <w:lang w:val="en-AU"/>
              </w:rPr>
              <w:t xml:space="preserve">Clause 46: </w:t>
            </w:r>
            <w:r w:rsidRPr="00167303">
              <w:rPr>
                <w:lang w:val="en-AU"/>
              </w:rPr>
              <w:t>How to appoint a proxy</w:t>
            </w:r>
          </w:p>
        </w:tc>
        <w:tc>
          <w:tcPr>
            <w:tcW w:w="0" w:type="auto"/>
          </w:tcPr>
          <w:p w14:paraId="557265B1" w14:textId="06692BDF" w:rsidR="009A069C" w:rsidRDefault="009A069C" w:rsidP="009A069C">
            <w:pPr>
              <w:rPr>
                <w:lang w:val="en-AU"/>
              </w:rPr>
            </w:pPr>
            <w:r>
              <w:rPr>
                <w:lang w:val="en-AU"/>
              </w:rPr>
              <w:t xml:space="preserve">We should simplify the proxy provisions to bring them in line with the definition of “notice”. </w:t>
            </w:r>
            <w:r w:rsidRPr="0073536F">
              <w:rPr>
                <w:lang w:val="en-AU"/>
              </w:rPr>
              <w:t>The notice provisions can then be changed so that the proxy notice is not excluded. This would provide consistency in relation to notices, and make clear that proxy appointment forms can be provided by person, post or electronically</w:t>
            </w:r>
            <w:r>
              <w:rPr>
                <w:lang w:val="en-AU"/>
              </w:rPr>
              <w:t xml:space="preserve">. </w:t>
            </w:r>
          </w:p>
        </w:tc>
        <w:tc>
          <w:tcPr>
            <w:tcW w:w="0" w:type="auto"/>
          </w:tcPr>
          <w:p w14:paraId="20B429B8" w14:textId="0E7251EC" w:rsidR="009A069C" w:rsidRDefault="009A069C" w:rsidP="009A069C">
            <w:pPr>
              <w:rPr>
                <w:lang w:val="en-AU"/>
              </w:rPr>
            </w:pPr>
            <w:r>
              <w:rPr>
                <w:lang w:val="en-AU"/>
              </w:rPr>
              <w:t>We have decided not to adopt this</w:t>
            </w:r>
            <w:r w:rsidR="00E246BD">
              <w:rPr>
                <w:lang w:val="en-AU"/>
              </w:rPr>
              <w:t>. P</w:t>
            </w:r>
            <w:r>
              <w:rPr>
                <w:lang w:val="en-AU"/>
              </w:rPr>
              <w:t xml:space="preserve">roxy forms have unique timing requirements as they must be received 48 hours before the meeting. The clause has been clarified in respect of modes of delivery. </w:t>
            </w:r>
          </w:p>
        </w:tc>
      </w:tr>
      <w:tr w:rsidR="002F5265" w:rsidRPr="0048268D" w14:paraId="1024C019" w14:textId="77777777" w:rsidTr="006F01AF">
        <w:trPr>
          <w:trHeight w:val="300"/>
        </w:trPr>
        <w:tc>
          <w:tcPr>
            <w:tcW w:w="0" w:type="auto"/>
          </w:tcPr>
          <w:p w14:paraId="22EC8FFF" w14:textId="532E7155" w:rsidR="002F5265" w:rsidRDefault="00563248" w:rsidP="009A069C">
            <w:pPr>
              <w:rPr>
                <w:lang w:val="en-AU"/>
              </w:rPr>
            </w:pPr>
            <w:r>
              <w:rPr>
                <w:lang w:val="en-AU"/>
              </w:rPr>
              <w:t xml:space="preserve">Clause </w:t>
            </w:r>
            <w:r w:rsidRPr="00563248">
              <w:rPr>
                <w:lang w:val="en-AU"/>
              </w:rPr>
              <w:t>47</w:t>
            </w:r>
            <w:r>
              <w:rPr>
                <w:lang w:val="en-AU"/>
              </w:rPr>
              <w:t xml:space="preserve">: </w:t>
            </w:r>
            <w:r w:rsidRPr="00563248">
              <w:rPr>
                <w:lang w:val="en-AU"/>
              </w:rPr>
              <w:t>Number of directors</w:t>
            </w:r>
          </w:p>
        </w:tc>
        <w:tc>
          <w:tcPr>
            <w:tcW w:w="0" w:type="auto"/>
          </w:tcPr>
          <w:p w14:paraId="685CF995" w14:textId="276F6549" w:rsidR="002F5265" w:rsidRDefault="00563248" w:rsidP="009A069C">
            <w:pPr>
              <w:rPr>
                <w:lang w:val="en-AU"/>
              </w:rPr>
            </w:pPr>
            <w:r>
              <w:rPr>
                <w:lang w:val="en-AU"/>
              </w:rPr>
              <w:t xml:space="preserve">This clause does not say who will determine </w:t>
            </w:r>
            <w:r w:rsidRPr="00563248">
              <w:rPr>
                <w:lang w:val="en-AU"/>
              </w:rPr>
              <w:t>the number of directors between the range</w:t>
            </w:r>
            <w:r>
              <w:rPr>
                <w:lang w:val="en-AU"/>
              </w:rPr>
              <w:t>.</w:t>
            </w:r>
            <w:r w:rsidR="000B4B89">
              <w:rPr>
                <w:lang w:val="en-AU"/>
              </w:rPr>
              <w:t xml:space="preserve"> The l</w:t>
            </w:r>
            <w:r w:rsidR="000B4B89" w:rsidRPr="000B4B89">
              <w:rPr>
                <w:lang w:val="en-AU"/>
              </w:rPr>
              <w:t>ack of clarity on the number of directors and notification of casual vacancy of directors can lead to governance disputes</w:t>
            </w:r>
            <w:r w:rsidR="000B4B89">
              <w:rPr>
                <w:lang w:val="en-AU"/>
              </w:rPr>
              <w:t xml:space="preserve">. </w:t>
            </w:r>
          </w:p>
        </w:tc>
        <w:tc>
          <w:tcPr>
            <w:tcW w:w="0" w:type="auto"/>
          </w:tcPr>
          <w:p w14:paraId="51DFC210" w14:textId="64156993" w:rsidR="002F5265" w:rsidRDefault="00DA5D6A" w:rsidP="009A069C">
            <w:pPr>
              <w:rPr>
                <w:lang w:val="en-AU"/>
              </w:rPr>
            </w:pPr>
            <w:r>
              <w:rPr>
                <w:lang w:val="en-AU"/>
              </w:rPr>
              <w:t xml:space="preserve">We have inserted a guidance note to advise users they can decide </w:t>
            </w:r>
            <w:r w:rsidR="00802CC3">
              <w:rPr>
                <w:lang w:val="en-AU"/>
              </w:rPr>
              <w:t xml:space="preserve">on having a set number </w:t>
            </w:r>
            <w:r w:rsidR="0076116E">
              <w:rPr>
                <w:lang w:val="en-AU"/>
              </w:rPr>
              <w:t xml:space="preserve">of directors or provide for a range. We consider a range of directors may be preferable for some charities to allow for flexibility over the life of the charity without requiring amendments to the constitution. </w:t>
            </w:r>
          </w:p>
        </w:tc>
      </w:tr>
      <w:tr w:rsidR="009A069C" w:rsidRPr="0048268D" w14:paraId="1959F573" w14:textId="77777777" w:rsidTr="006F01AF">
        <w:trPr>
          <w:trHeight w:val="300"/>
        </w:trPr>
        <w:tc>
          <w:tcPr>
            <w:tcW w:w="0" w:type="auto"/>
          </w:tcPr>
          <w:p w14:paraId="72E44AFF" w14:textId="31694FA1" w:rsidR="009A069C" w:rsidRDefault="009A069C" w:rsidP="009A069C">
            <w:pPr>
              <w:rPr>
                <w:lang w:val="en-AU"/>
              </w:rPr>
            </w:pPr>
            <w:r>
              <w:rPr>
                <w:lang w:val="en-AU"/>
              </w:rPr>
              <w:t>Clause</w:t>
            </w:r>
            <w:r>
              <w:t xml:space="preserve"> </w:t>
            </w:r>
            <w:r w:rsidRPr="007B6A1E">
              <w:rPr>
                <w:lang w:val="en-AU"/>
              </w:rPr>
              <w:t>48</w:t>
            </w:r>
            <w:r>
              <w:rPr>
                <w:lang w:val="en-AU"/>
              </w:rPr>
              <w:t xml:space="preserve">: </w:t>
            </w:r>
            <w:r w:rsidRPr="007B6A1E">
              <w:rPr>
                <w:lang w:val="en-AU"/>
              </w:rPr>
              <w:t>Who can be a director</w:t>
            </w:r>
          </w:p>
        </w:tc>
        <w:tc>
          <w:tcPr>
            <w:tcW w:w="0" w:type="auto"/>
          </w:tcPr>
          <w:p w14:paraId="3B1DFCD1" w14:textId="48E83A32" w:rsidR="009A069C" w:rsidRDefault="009A069C" w:rsidP="009A069C">
            <w:pPr>
              <w:rPr>
                <w:lang w:val="en-AU"/>
              </w:rPr>
            </w:pPr>
            <w:r>
              <w:rPr>
                <w:lang w:val="en-AU"/>
              </w:rPr>
              <w:t xml:space="preserve">Directors should not be required to be members. </w:t>
            </w:r>
          </w:p>
        </w:tc>
        <w:tc>
          <w:tcPr>
            <w:tcW w:w="0" w:type="auto"/>
          </w:tcPr>
          <w:p w14:paraId="0878B239" w14:textId="50DF176C" w:rsidR="009A069C" w:rsidRPr="0048268D" w:rsidRDefault="009A069C" w:rsidP="009A069C">
            <w:pPr>
              <w:rPr>
                <w:lang w:val="en-AU"/>
              </w:rPr>
            </w:pPr>
            <w:r>
              <w:rPr>
                <w:lang w:val="en-AU"/>
              </w:rPr>
              <w:t xml:space="preserve">We have retained this to avoid the situation where a charitable company finds it has </w:t>
            </w:r>
            <w:r w:rsidR="7A79899F" w:rsidRPr="3EF1E250">
              <w:rPr>
                <w:lang w:val="en-AU"/>
              </w:rPr>
              <w:t>no</w:t>
            </w:r>
            <w:r w:rsidRPr="3EF1E250">
              <w:rPr>
                <w:lang w:val="en-AU"/>
              </w:rPr>
              <w:t xml:space="preserve"> </w:t>
            </w:r>
            <w:r>
              <w:rPr>
                <w:lang w:val="en-AU"/>
              </w:rPr>
              <w:t xml:space="preserve">members. We are aware that this can be an issue for smaller organisations. </w:t>
            </w:r>
          </w:p>
        </w:tc>
      </w:tr>
      <w:tr w:rsidR="009A069C" w:rsidRPr="0048268D" w14:paraId="432B04AA" w14:textId="77777777" w:rsidTr="006F01AF">
        <w:trPr>
          <w:trHeight w:val="300"/>
        </w:trPr>
        <w:tc>
          <w:tcPr>
            <w:tcW w:w="0" w:type="auto"/>
          </w:tcPr>
          <w:p w14:paraId="46FDE424" w14:textId="01FB810D" w:rsidR="009A069C" w:rsidRDefault="009A069C" w:rsidP="009A069C">
            <w:pPr>
              <w:rPr>
                <w:lang w:val="en-AU"/>
              </w:rPr>
            </w:pPr>
            <w:r>
              <w:rPr>
                <w:lang w:val="en-AU"/>
              </w:rPr>
              <w:t>Clause</w:t>
            </w:r>
            <w:r>
              <w:t xml:space="preserve"> </w:t>
            </w:r>
            <w:r w:rsidRPr="007B6A1E">
              <w:rPr>
                <w:lang w:val="en-AU"/>
              </w:rPr>
              <w:t>48</w:t>
            </w:r>
            <w:r>
              <w:rPr>
                <w:lang w:val="en-AU"/>
              </w:rPr>
              <w:t xml:space="preserve">: </w:t>
            </w:r>
            <w:r w:rsidRPr="007B6A1E">
              <w:rPr>
                <w:lang w:val="en-AU"/>
              </w:rPr>
              <w:t>Who can be a director</w:t>
            </w:r>
          </w:p>
        </w:tc>
        <w:tc>
          <w:tcPr>
            <w:tcW w:w="0" w:type="auto"/>
          </w:tcPr>
          <w:p w14:paraId="15260BE0" w14:textId="61345333" w:rsidR="009A069C" w:rsidRPr="00B112F8" w:rsidRDefault="009A069C" w:rsidP="009A069C">
            <w:r>
              <w:rPr>
                <w:lang w:val="en-AU"/>
              </w:rPr>
              <w:t xml:space="preserve">We should not permit </w:t>
            </w:r>
            <w:r w:rsidRPr="00FD594C">
              <w:t>nominations from the floor so that there is time for members to consider nominations.</w:t>
            </w:r>
          </w:p>
        </w:tc>
        <w:tc>
          <w:tcPr>
            <w:tcW w:w="0" w:type="auto"/>
          </w:tcPr>
          <w:p w14:paraId="6FA25F32" w14:textId="1F5312D9" w:rsidR="009A069C" w:rsidRDefault="009A069C" w:rsidP="009A069C">
            <w:pPr>
              <w:rPr>
                <w:lang w:val="en-AU"/>
              </w:rPr>
            </w:pPr>
            <w:r>
              <w:rPr>
                <w:lang w:val="en-AU"/>
              </w:rPr>
              <w:t xml:space="preserve">We have retained this to allow for flexibility in the way that the company is managed, having regard to the wide range of potential users. </w:t>
            </w:r>
          </w:p>
        </w:tc>
      </w:tr>
      <w:tr w:rsidR="004C2924" w:rsidRPr="0048268D" w14:paraId="7B65757F" w14:textId="77777777" w:rsidTr="00CC63E1">
        <w:trPr>
          <w:trHeight w:val="300"/>
        </w:trPr>
        <w:tc>
          <w:tcPr>
            <w:tcW w:w="0" w:type="auto"/>
          </w:tcPr>
          <w:p w14:paraId="0C5B06DF" w14:textId="77777777" w:rsidR="004C2924" w:rsidRDefault="004C2924" w:rsidP="00CC63E1">
            <w:pPr>
              <w:rPr>
                <w:lang w:val="en-AU"/>
              </w:rPr>
            </w:pPr>
            <w:r>
              <w:rPr>
                <w:lang w:val="en-AU"/>
              </w:rPr>
              <w:t>Clause</w:t>
            </w:r>
            <w:r>
              <w:t xml:space="preserve"> </w:t>
            </w:r>
            <w:r w:rsidRPr="007B6A1E">
              <w:rPr>
                <w:lang w:val="en-AU"/>
              </w:rPr>
              <w:t>48</w:t>
            </w:r>
            <w:r>
              <w:rPr>
                <w:lang w:val="en-AU"/>
              </w:rPr>
              <w:t xml:space="preserve">: </w:t>
            </w:r>
            <w:r w:rsidRPr="007B6A1E">
              <w:rPr>
                <w:lang w:val="en-AU"/>
              </w:rPr>
              <w:t>Who can be a director</w:t>
            </w:r>
          </w:p>
        </w:tc>
        <w:tc>
          <w:tcPr>
            <w:tcW w:w="0" w:type="auto"/>
          </w:tcPr>
          <w:p w14:paraId="1B23449F" w14:textId="4CF4E447" w:rsidR="004C2924" w:rsidRPr="00B112F8" w:rsidRDefault="004C2924" w:rsidP="00CC63E1">
            <w:r>
              <w:t xml:space="preserve">We should include director identification numbers as part of the eligibility requirements. </w:t>
            </w:r>
          </w:p>
        </w:tc>
        <w:tc>
          <w:tcPr>
            <w:tcW w:w="0" w:type="auto"/>
          </w:tcPr>
          <w:p w14:paraId="330C56AA" w14:textId="41227B84" w:rsidR="004C2924" w:rsidRDefault="00280BE3" w:rsidP="00CC63E1">
            <w:pPr>
              <w:rPr>
                <w:lang w:val="en-AU"/>
              </w:rPr>
            </w:pPr>
            <w:r>
              <w:rPr>
                <w:lang w:val="en-AU"/>
              </w:rPr>
              <w:t xml:space="preserve">Adopted. </w:t>
            </w:r>
          </w:p>
        </w:tc>
      </w:tr>
      <w:tr w:rsidR="009A069C" w:rsidRPr="0048268D" w14:paraId="06A2AD8E" w14:textId="77777777" w:rsidTr="006F01AF">
        <w:trPr>
          <w:trHeight w:val="300"/>
        </w:trPr>
        <w:tc>
          <w:tcPr>
            <w:tcW w:w="0" w:type="auto"/>
          </w:tcPr>
          <w:p w14:paraId="525D7C36" w14:textId="53B301B6" w:rsidR="009A069C" w:rsidRDefault="009A069C" w:rsidP="009A069C">
            <w:pPr>
              <w:rPr>
                <w:lang w:val="en-AU"/>
              </w:rPr>
            </w:pPr>
            <w:r>
              <w:rPr>
                <w:lang w:val="en-AU"/>
              </w:rPr>
              <w:t xml:space="preserve">Clause </w:t>
            </w:r>
            <w:r w:rsidRPr="006E71BA">
              <w:rPr>
                <w:lang w:val="en-AU"/>
              </w:rPr>
              <w:t>49</w:t>
            </w:r>
            <w:r>
              <w:rPr>
                <w:lang w:val="en-AU"/>
              </w:rPr>
              <w:t xml:space="preserve">: </w:t>
            </w:r>
            <w:r w:rsidRPr="006E71BA">
              <w:rPr>
                <w:lang w:val="en-AU"/>
              </w:rPr>
              <w:t>How to become a director</w:t>
            </w:r>
          </w:p>
        </w:tc>
        <w:tc>
          <w:tcPr>
            <w:tcW w:w="0" w:type="auto"/>
          </w:tcPr>
          <w:p w14:paraId="677303C0" w14:textId="0E2E2EFE" w:rsidR="009A069C" w:rsidRDefault="009A069C" w:rsidP="009A069C">
            <w:pPr>
              <w:rPr>
                <w:lang w:val="en-AU"/>
              </w:rPr>
            </w:pPr>
            <w:r>
              <w:rPr>
                <w:lang w:val="en-AU"/>
              </w:rPr>
              <w:t xml:space="preserve">Include a clause encouraging the promotion of diversity and inclusion within its board, staff, and volunteers </w:t>
            </w:r>
          </w:p>
        </w:tc>
        <w:tc>
          <w:tcPr>
            <w:tcW w:w="0" w:type="auto"/>
          </w:tcPr>
          <w:p w14:paraId="4263B850" w14:textId="62C37C7E" w:rsidR="009A069C" w:rsidRDefault="009A069C" w:rsidP="009A069C">
            <w:pPr>
              <w:rPr>
                <w:lang w:val="en-AU"/>
              </w:rPr>
            </w:pPr>
            <w:r>
              <w:rPr>
                <w:lang w:val="en-AU"/>
              </w:rPr>
              <w:t xml:space="preserve">We have included a guidance note suggesting that users develop a board skills matrix, which can also be used to ensure diversity. </w:t>
            </w:r>
          </w:p>
        </w:tc>
      </w:tr>
      <w:tr w:rsidR="00F526CB" w:rsidRPr="0048268D" w14:paraId="015FFCFE" w14:textId="77777777" w:rsidTr="006F01AF">
        <w:trPr>
          <w:trHeight w:val="300"/>
        </w:trPr>
        <w:tc>
          <w:tcPr>
            <w:tcW w:w="0" w:type="auto"/>
          </w:tcPr>
          <w:p w14:paraId="741F315A" w14:textId="19AD97DA" w:rsidR="00F526CB" w:rsidRDefault="00F526CB" w:rsidP="009A069C">
            <w:pPr>
              <w:rPr>
                <w:lang w:val="en-AU"/>
              </w:rPr>
            </w:pPr>
            <w:r>
              <w:rPr>
                <w:lang w:val="en-AU"/>
              </w:rPr>
              <w:t xml:space="preserve">Clause </w:t>
            </w:r>
            <w:r w:rsidRPr="006E71BA">
              <w:rPr>
                <w:lang w:val="en-AU"/>
              </w:rPr>
              <w:t>49</w:t>
            </w:r>
            <w:r>
              <w:rPr>
                <w:lang w:val="en-AU"/>
              </w:rPr>
              <w:t xml:space="preserve">: </w:t>
            </w:r>
            <w:r w:rsidRPr="006E71BA">
              <w:rPr>
                <w:lang w:val="en-AU"/>
              </w:rPr>
              <w:t>How to become a director</w:t>
            </w:r>
          </w:p>
        </w:tc>
        <w:tc>
          <w:tcPr>
            <w:tcW w:w="0" w:type="auto"/>
          </w:tcPr>
          <w:p w14:paraId="6BB53391" w14:textId="18432334" w:rsidR="00F526CB" w:rsidRDefault="00F526CB" w:rsidP="009A069C">
            <w:pPr>
              <w:rPr>
                <w:lang w:val="en-AU"/>
              </w:rPr>
            </w:pPr>
            <w:r>
              <w:rPr>
                <w:lang w:val="en-AU"/>
              </w:rPr>
              <w:t>We should include a transitional clause for current directors of a company, where the company is replacing a constitution.</w:t>
            </w:r>
          </w:p>
        </w:tc>
        <w:tc>
          <w:tcPr>
            <w:tcW w:w="0" w:type="auto"/>
          </w:tcPr>
          <w:p w14:paraId="218834D8" w14:textId="70427086" w:rsidR="00F526CB" w:rsidRDefault="009A31B1" w:rsidP="009A069C">
            <w:r w:rsidRPr="3EF1E250">
              <w:t>We have added a guidance note</w:t>
            </w:r>
            <w:r w:rsidR="008E362A" w:rsidRPr="3EF1E250">
              <w:t xml:space="preserve"> on this point</w:t>
            </w:r>
            <w:r w:rsidR="006372C1" w:rsidRPr="3EF1E250">
              <w:t xml:space="preserve">. </w:t>
            </w:r>
            <w:r w:rsidRPr="3EF1E250">
              <w:t xml:space="preserve"> </w:t>
            </w:r>
          </w:p>
        </w:tc>
      </w:tr>
      <w:tr w:rsidR="009A069C" w:rsidRPr="0048268D" w14:paraId="7AE5391A" w14:textId="77777777" w:rsidTr="00CC63E1">
        <w:trPr>
          <w:trHeight w:val="300"/>
        </w:trPr>
        <w:tc>
          <w:tcPr>
            <w:tcW w:w="0" w:type="auto"/>
          </w:tcPr>
          <w:p w14:paraId="6F179355" w14:textId="0DDA6A69" w:rsidR="009A069C" w:rsidRDefault="009A069C" w:rsidP="009A069C">
            <w:pPr>
              <w:rPr>
                <w:lang w:val="en-AU"/>
              </w:rPr>
            </w:pPr>
            <w:r>
              <w:rPr>
                <w:lang w:val="en-AU"/>
              </w:rPr>
              <w:t xml:space="preserve">Clause </w:t>
            </w:r>
            <w:r w:rsidRPr="00974B53">
              <w:rPr>
                <w:lang w:val="en-AU"/>
              </w:rPr>
              <w:t>5</w:t>
            </w:r>
            <w:r w:rsidR="005B3350">
              <w:rPr>
                <w:lang w:val="en-AU"/>
              </w:rPr>
              <w:t>3</w:t>
            </w:r>
            <w:r>
              <w:rPr>
                <w:lang w:val="en-AU"/>
              </w:rPr>
              <w:t xml:space="preserve">: </w:t>
            </w:r>
            <w:r w:rsidRPr="00974B53">
              <w:rPr>
                <w:lang w:val="en-AU"/>
              </w:rPr>
              <w:t>Term of office</w:t>
            </w:r>
          </w:p>
        </w:tc>
        <w:tc>
          <w:tcPr>
            <w:tcW w:w="0" w:type="auto"/>
          </w:tcPr>
          <w:p w14:paraId="767C0402" w14:textId="237D9C2F" w:rsidR="009A069C" w:rsidRDefault="009A069C" w:rsidP="009A069C">
            <w:pPr>
              <w:rPr>
                <w:lang w:val="en-AU"/>
              </w:rPr>
            </w:pPr>
            <w:r>
              <w:rPr>
                <w:lang w:val="en-AU"/>
              </w:rPr>
              <w:t>We should consider including a maximum term for directors</w:t>
            </w:r>
            <w:r w:rsidR="0011157C">
              <w:rPr>
                <w:lang w:val="en-AU"/>
              </w:rPr>
              <w:t xml:space="preserve"> instead of indefinite terms</w:t>
            </w:r>
            <w:r>
              <w:rPr>
                <w:lang w:val="en-AU"/>
              </w:rPr>
              <w:t xml:space="preserve">, but should not include a rotating board (one third retire). Feedback highlighted the need for clarity regarding the effect on directors’ terms of office if an AGM is not held. </w:t>
            </w:r>
          </w:p>
        </w:tc>
        <w:tc>
          <w:tcPr>
            <w:tcW w:w="0" w:type="auto"/>
          </w:tcPr>
          <w:p w14:paraId="0EB2C2BB" w14:textId="77777777" w:rsidR="009A069C" w:rsidRPr="00245659" w:rsidRDefault="009A069C" w:rsidP="009A069C">
            <w:pPr>
              <w:rPr>
                <w:lang w:val="en-AU"/>
              </w:rPr>
            </w:pPr>
            <w:r>
              <w:rPr>
                <w:lang w:val="en-AU"/>
              </w:rPr>
              <w:t xml:space="preserve">We removed the term limit and the rotating board requirement in the 2023 review. We have revised to implement a maximum term for directors, with a note that this can be changed. </w:t>
            </w:r>
          </w:p>
        </w:tc>
      </w:tr>
      <w:tr w:rsidR="009A069C" w:rsidRPr="0048268D" w14:paraId="21FB0DC9" w14:textId="77777777" w:rsidTr="006F01AF">
        <w:trPr>
          <w:trHeight w:val="300"/>
        </w:trPr>
        <w:tc>
          <w:tcPr>
            <w:tcW w:w="0" w:type="auto"/>
          </w:tcPr>
          <w:p w14:paraId="585C852D" w14:textId="3DCA8D41" w:rsidR="009A069C" w:rsidRDefault="009A069C" w:rsidP="009A069C">
            <w:pPr>
              <w:rPr>
                <w:lang w:val="en-AU"/>
              </w:rPr>
            </w:pPr>
            <w:r>
              <w:rPr>
                <w:lang w:val="en-AU"/>
              </w:rPr>
              <w:t xml:space="preserve">Clause </w:t>
            </w:r>
            <w:r w:rsidR="00FA4263">
              <w:rPr>
                <w:lang w:val="en-AU"/>
              </w:rPr>
              <w:t>59</w:t>
            </w:r>
            <w:r>
              <w:rPr>
                <w:lang w:val="en-AU"/>
              </w:rPr>
              <w:t xml:space="preserve">: </w:t>
            </w:r>
            <w:r w:rsidRPr="000A5EF0">
              <w:rPr>
                <w:lang w:val="en-AU"/>
              </w:rPr>
              <w:t>Payments to directors</w:t>
            </w:r>
          </w:p>
        </w:tc>
        <w:tc>
          <w:tcPr>
            <w:tcW w:w="0" w:type="auto"/>
          </w:tcPr>
          <w:p w14:paraId="30360A70" w14:textId="77777777" w:rsidR="009A069C" w:rsidRDefault="009A069C" w:rsidP="009A069C">
            <w:pPr>
              <w:rPr>
                <w:lang w:val="en-AU"/>
              </w:rPr>
            </w:pPr>
            <w:r>
              <w:rPr>
                <w:lang w:val="en-AU"/>
              </w:rPr>
              <w:t>There is a need for absolute clarity on the difference between distributing profit and paying employees and directors.</w:t>
            </w:r>
          </w:p>
          <w:p w14:paraId="0DFAC0A9" w14:textId="77777777" w:rsidR="00DD04AE" w:rsidRDefault="00DD04AE" w:rsidP="009A069C">
            <w:pPr>
              <w:rPr>
                <w:lang w:val="en-AU"/>
              </w:rPr>
            </w:pPr>
          </w:p>
          <w:p w14:paraId="706DF40C" w14:textId="29A3EE36" w:rsidR="00DD04AE" w:rsidRDefault="00DD04AE" w:rsidP="009A069C">
            <w:pPr>
              <w:rPr>
                <w:lang w:val="en-AU"/>
              </w:rPr>
            </w:pPr>
            <w:r>
              <w:rPr>
                <w:lang w:val="en-AU"/>
              </w:rPr>
              <w:t xml:space="preserve">We also received feedback that the constitution was not clear about requirements for sitting fees. </w:t>
            </w:r>
          </w:p>
        </w:tc>
        <w:tc>
          <w:tcPr>
            <w:tcW w:w="0" w:type="auto"/>
          </w:tcPr>
          <w:p w14:paraId="4538755B" w14:textId="13787E39" w:rsidR="009A069C" w:rsidRDefault="009A069C" w:rsidP="009A069C">
            <w:pPr>
              <w:rPr>
                <w:lang w:val="en-AU"/>
              </w:rPr>
            </w:pPr>
            <w:r>
              <w:rPr>
                <w:lang w:val="en-AU"/>
              </w:rPr>
              <w:t xml:space="preserve">We have </w:t>
            </w:r>
            <w:r w:rsidR="00946B6A">
              <w:rPr>
                <w:lang w:val="en-AU"/>
              </w:rPr>
              <w:t xml:space="preserve">amended the clause and </w:t>
            </w:r>
            <w:r>
              <w:rPr>
                <w:lang w:val="en-AU"/>
              </w:rPr>
              <w:t xml:space="preserve">included a guidance note to clarify that the clause can be amended to permit directors’ fees. </w:t>
            </w:r>
          </w:p>
        </w:tc>
      </w:tr>
      <w:tr w:rsidR="009A069C" w:rsidRPr="0048268D" w14:paraId="5CC2CE76" w14:textId="77777777" w:rsidTr="00CC63E1">
        <w:trPr>
          <w:trHeight w:val="300"/>
        </w:trPr>
        <w:tc>
          <w:tcPr>
            <w:tcW w:w="0" w:type="auto"/>
          </w:tcPr>
          <w:p w14:paraId="209ABABA" w14:textId="7BE8EAF9" w:rsidR="009A069C" w:rsidRDefault="009A069C" w:rsidP="009A069C">
            <w:pPr>
              <w:rPr>
                <w:lang w:val="en-AU"/>
              </w:rPr>
            </w:pPr>
            <w:r>
              <w:rPr>
                <w:lang w:val="en-AU"/>
              </w:rPr>
              <w:t xml:space="preserve">Clause </w:t>
            </w:r>
            <w:r w:rsidR="003028B9">
              <w:rPr>
                <w:lang w:val="en-AU"/>
              </w:rPr>
              <w:t>60</w:t>
            </w:r>
            <w:r>
              <w:rPr>
                <w:lang w:val="en-AU"/>
              </w:rPr>
              <w:t xml:space="preserve">: Execution of documents </w:t>
            </w:r>
          </w:p>
        </w:tc>
        <w:tc>
          <w:tcPr>
            <w:tcW w:w="0" w:type="auto"/>
          </w:tcPr>
          <w:p w14:paraId="6AFA469D" w14:textId="2352DD85" w:rsidR="009A069C" w:rsidRDefault="009A069C" w:rsidP="009A069C">
            <w:pPr>
              <w:rPr>
                <w:lang w:val="en-AU"/>
              </w:rPr>
            </w:pPr>
            <w:r>
              <w:rPr>
                <w:lang w:val="en-AU"/>
              </w:rPr>
              <w:t xml:space="preserve">We should not include this clause because there may be specific requirements for certain types of documents. If we want to retain it, consider including a </w:t>
            </w:r>
            <w:r w:rsidRPr="00FD594C">
              <w:t>general statement in the interpretation section</w:t>
            </w:r>
            <w:r>
              <w:t xml:space="preserve">. </w:t>
            </w:r>
          </w:p>
        </w:tc>
        <w:tc>
          <w:tcPr>
            <w:tcW w:w="0" w:type="auto"/>
          </w:tcPr>
          <w:p w14:paraId="1E73D518" w14:textId="6F01AA58" w:rsidR="009A069C" w:rsidRDefault="009A069C" w:rsidP="009A069C">
            <w:pPr>
              <w:rPr>
                <w:lang w:val="en-AU"/>
              </w:rPr>
            </w:pPr>
            <w:r>
              <w:rPr>
                <w:lang w:val="en-AU"/>
              </w:rPr>
              <w:t xml:space="preserve">We consider it important to have a clause that permits the execution of documents without the use of a company seal. We have included a guidance note to say that some documents may have specific requirements. </w:t>
            </w:r>
          </w:p>
        </w:tc>
      </w:tr>
      <w:tr w:rsidR="00DD2A87" w:rsidRPr="0048268D" w14:paraId="301F0EC1" w14:textId="77777777" w:rsidTr="00CC63E1">
        <w:trPr>
          <w:trHeight w:val="300"/>
        </w:trPr>
        <w:tc>
          <w:tcPr>
            <w:tcW w:w="0" w:type="auto"/>
          </w:tcPr>
          <w:p w14:paraId="38776F6A" w14:textId="33794DDC" w:rsidR="009A069C" w:rsidRDefault="009A069C" w:rsidP="009A069C">
            <w:pPr>
              <w:rPr>
                <w:lang w:val="en-AU"/>
              </w:rPr>
            </w:pPr>
            <w:r>
              <w:rPr>
                <w:lang w:val="en-AU"/>
              </w:rPr>
              <w:t xml:space="preserve">Clause </w:t>
            </w:r>
            <w:r w:rsidR="003028B9">
              <w:rPr>
                <w:lang w:val="en-AU"/>
              </w:rPr>
              <w:t>63</w:t>
            </w:r>
            <w:r>
              <w:rPr>
                <w:lang w:val="en-AU"/>
              </w:rPr>
              <w:t xml:space="preserve">: </w:t>
            </w:r>
            <w:r w:rsidR="003028B9">
              <w:rPr>
                <w:lang w:val="en-AU"/>
              </w:rPr>
              <w:t>D</w:t>
            </w:r>
            <w:r>
              <w:rPr>
                <w:lang w:val="en-AU"/>
              </w:rPr>
              <w:t xml:space="preserve">uties of directors </w:t>
            </w:r>
          </w:p>
        </w:tc>
        <w:tc>
          <w:tcPr>
            <w:tcW w:w="0" w:type="auto"/>
          </w:tcPr>
          <w:p w14:paraId="58FA1A96" w14:textId="77777777" w:rsidR="009A069C" w:rsidRDefault="009A069C" w:rsidP="009A069C">
            <w:r>
              <w:t xml:space="preserve">We must include a reference to the Governance Standards and, if relevant, the External Conduct Standards. </w:t>
            </w:r>
          </w:p>
        </w:tc>
        <w:tc>
          <w:tcPr>
            <w:tcW w:w="0" w:type="auto"/>
          </w:tcPr>
          <w:p w14:paraId="1D285A5B" w14:textId="5F44EC82" w:rsidR="009A069C" w:rsidRDefault="009A069C" w:rsidP="009A069C">
            <w:pPr>
              <w:rPr>
                <w:lang w:val="en-AU"/>
              </w:rPr>
            </w:pPr>
            <w:r>
              <w:rPr>
                <w:lang w:val="en-AU"/>
              </w:rPr>
              <w:t xml:space="preserve">We have included a clause and guidance note regarding the Governance Standards </w:t>
            </w:r>
            <w:r>
              <w:t xml:space="preserve">and, if relevant, the External Conduct Standards. </w:t>
            </w:r>
          </w:p>
        </w:tc>
      </w:tr>
      <w:tr w:rsidR="009A069C" w:rsidRPr="0048268D" w14:paraId="39DF392C" w14:textId="77777777" w:rsidTr="00CC63E1">
        <w:trPr>
          <w:trHeight w:val="300"/>
        </w:trPr>
        <w:tc>
          <w:tcPr>
            <w:tcW w:w="0" w:type="auto"/>
          </w:tcPr>
          <w:p w14:paraId="3285D6B5" w14:textId="3133A04D" w:rsidR="009A069C" w:rsidRDefault="009A069C" w:rsidP="009A069C">
            <w:pPr>
              <w:rPr>
                <w:lang w:val="en-AU"/>
              </w:rPr>
            </w:pPr>
            <w:r>
              <w:rPr>
                <w:lang w:val="en-AU"/>
              </w:rPr>
              <w:t xml:space="preserve">Clause </w:t>
            </w:r>
            <w:r w:rsidR="003028B9">
              <w:rPr>
                <w:lang w:val="en-AU"/>
              </w:rPr>
              <w:t>64</w:t>
            </w:r>
            <w:r>
              <w:rPr>
                <w:lang w:val="en-AU"/>
              </w:rPr>
              <w:t xml:space="preserve">: </w:t>
            </w:r>
            <w:r w:rsidR="003028B9">
              <w:rPr>
                <w:lang w:val="en-AU"/>
              </w:rPr>
              <w:t>C</w:t>
            </w:r>
            <w:r>
              <w:rPr>
                <w:lang w:val="en-AU"/>
              </w:rPr>
              <w:t>onflicts of interest</w:t>
            </w:r>
          </w:p>
        </w:tc>
        <w:tc>
          <w:tcPr>
            <w:tcW w:w="0" w:type="auto"/>
          </w:tcPr>
          <w:p w14:paraId="538ABA5D" w14:textId="77777777" w:rsidR="009A069C" w:rsidRDefault="009A069C" w:rsidP="009A069C">
            <w:r>
              <w:t>We should ensure that board members or employees are not related or can be signatories for bank accounts.</w:t>
            </w:r>
          </w:p>
        </w:tc>
        <w:tc>
          <w:tcPr>
            <w:tcW w:w="0" w:type="auto"/>
          </w:tcPr>
          <w:p w14:paraId="0C1C6F1C" w14:textId="77777777" w:rsidR="009A069C" w:rsidRDefault="009A069C" w:rsidP="009A069C">
            <w:pPr>
              <w:rPr>
                <w:lang w:val="en-AU"/>
              </w:rPr>
            </w:pPr>
            <w:r>
              <w:rPr>
                <w:lang w:val="en-AU"/>
              </w:rPr>
              <w:t xml:space="preserve">Board members or employees can be related, as long as any conflicts of interest are managed appropriately. </w:t>
            </w:r>
          </w:p>
        </w:tc>
      </w:tr>
      <w:tr w:rsidR="009A069C" w:rsidRPr="0048268D" w14:paraId="040FA7EA" w14:textId="77777777" w:rsidTr="006F01AF">
        <w:trPr>
          <w:trHeight w:val="300"/>
        </w:trPr>
        <w:tc>
          <w:tcPr>
            <w:tcW w:w="0" w:type="auto"/>
          </w:tcPr>
          <w:p w14:paraId="68B32835" w14:textId="5E8F2D2A" w:rsidR="009A069C" w:rsidRDefault="009A069C" w:rsidP="009A069C">
            <w:pPr>
              <w:rPr>
                <w:lang w:val="en-AU"/>
              </w:rPr>
            </w:pPr>
            <w:r>
              <w:rPr>
                <w:lang w:val="en-AU"/>
              </w:rPr>
              <w:t>Clause</w:t>
            </w:r>
            <w:r>
              <w:t xml:space="preserve"> </w:t>
            </w:r>
            <w:r w:rsidR="008400D7">
              <w:rPr>
                <w:lang w:val="en-AU"/>
              </w:rPr>
              <w:t>68</w:t>
            </w:r>
            <w:r>
              <w:rPr>
                <w:lang w:val="en-AU"/>
              </w:rPr>
              <w:t>:</w:t>
            </w:r>
            <w:r w:rsidRPr="00901D80">
              <w:rPr>
                <w:lang w:val="en-AU"/>
              </w:rPr>
              <w:t xml:space="preserve"> Quorum at directors’ meetings</w:t>
            </w:r>
          </w:p>
        </w:tc>
        <w:tc>
          <w:tcPr>
            <w:tcW w:w="0" w:type="auto"/>
          </w:tcPr>
          <w:p w14:paraId="3C1A5FFB" w14:textId="74545D09" w:rsidR="009A069C" w:rsidRDefault="009A069C" w:rsidP="009A069C">
            <w:pPr>
              <w:rPr>
                <w:lang w:val="en-AU"/>
              </w:rPr>
            </w:pPr>
            <w:r>
              <w:rPr>
                <w:lang w:val="en-AU"/>
              </w:rPr>
              <w:t xml:space="preserve">We should remove the phrase “or is less than the number required for a quorum” because it doesn’t make sense if the quorum is “majority of directors”. </w:t>
            </w:r>
          </w:p>
        </w:tc>
        <w:tc>
          <w:tcPr>
            <w:tcW w:w="0" w:type="auto"/>
          </w:tcPr>
          <w:p w14:paraId="5AE0FB25" w14:textId="3F5CAD9A" w:rsidR="009A069C" w:rsidRDefault="009A069C" w:rsidP="009A069C">
            <w:pPr>
              <w:rPr>
                <w:lang w:val="en-AU"/>
              </w:rPr>
            </w:pPr>
            <w:r>
              <w:rPr>
                <w:lang w:val="en-AU"/>
              </w:rPr>
              <w:t xml:space="preserve">We agree but have retained this clause in case a user changes the quorum to a set number. </w:t>
            </w:r>
          </w:p>
        </w:tc>
      </w:tr>
      <w:tr w:rsidR="009A069C" w:rsidRPr="0048268D" w14:paraId="28888FF7" w14:textId="77777777" w:rsidTr="006F01AF">
        <w:trPr>
          <w:trHeight w:val="300"/>
        </w:trPr>
        <w:tc>
          <w:tcPr>
            <w:tcW w:w="0" w:type="auto"/>
          </w:tcPr>
          <w:p w14:paraId="768A8B94" w14:textId="5A0D9E5E" w:rsidR="009A069C" w:rsidRDefault="009A069C" w:rsidP="009A069C">
            <w:pPr>
              <w:rPr>
                <w:lang w:val="en-AU"/>
              </w:rPr>
            </w:pPr>
            <w:r>
              <w:rPr>
                <w:lang w:val="en-AU"/>
              </w:rPr>
              <w:t>Clause</w:t>
            </w:r>
            <w:r>
              <w:t xml:space="preserve"> </w:t>
            </w:r>
            <w:r w:rsidR="008400D7">
              <w:rPr>
                <w:lang w:val="en-AU"/>
              </w:rPr>
              <w:t>68</w:t>
            </w:r>
            <w:r>
              <w:rPr>
                <w:lang w:val="en-AU"/>
              </w:rPr>
              <w:t>:</w:t>
            </w:r>
            <w:r w:rsidRPr="00901D80">
              <w:rPr>
                <w:lang w:val="en-AU"/>
              </w:rPr>
              <w:t xml:space="preserve"> Quorum at directors’ meetings</w:t>
            </w:r>
          </w:p>
        </w:tc>
        <w:tc>
          <w:tcPr>
            <w:tcW w:w="0" w:type="auto"/>
          </w:tcPr>
          <w:p w14:paraId="2207F991" w14:textId="0483957A" w:rsidR="009A069C" w:rsidRDefault="009A069C" w:rsidP="009A069C">
            <w:r>
              <w:t>W</w:t>
            </w:r>
            <w:r w:rsidRPr="00FD594C">
              <w:t xml:space="preserve">e </w:t>
            </w:r>
            <w:r>
              <w:t xml:space="preserve">should </w:t>
            </w:r>
            <w:r w:rsidRPr="00FD594C">
              <w:t>consider whether the directors should be able to change the quorum</w:t>
            </w:r>
            <w:r>
              <w:t xml:space="preserve">. </w:t>
            </w:r>
            <w:r w:rsidRPr="00FD594C">
              <w:t xml:space="preserve"> </w:t>
            </w:r>
          </w:p>
          <w:p w14:paraId="26FE041F" w14:textId="77777777" w:rsidR="009A069C" w:rsidRPr="00FD594C" w:rsidRDefault="009A069C" w:rsidP="009A069C"/>
          <w:p w14:paraId="3C19AF5E" w14:textId="1BD96F7A" w:rsidR="009A069C" w:rsidRPr="00B335A6" w:rsidRDefault="009A069C" w:rsidP="009A069C">
            <w:r>
              <w:t>We should d</w:t>
            </w:r>
            <w:r w:rsidRPr="00FD594C">
              <w:t>ouble check if there is still a minimum quorum required in the NSW fundraising regulations or code</w:t>
            </w:r>
          </w:p>
        </w:tc>
        <w:tc>
          <w:tcPr>
            <w:tcW w:w="0" w:type="auto"/>
          </w:tcPr>
          <w:p w14:paraId="406973B4" w14:textId="4463E893" w:rsidR="009A069C" w:rsidRDefault="009A069C" w:rsidP="009A069C">
            <w:pPr>
              <w:rPr>
                <w:lang w:val="en-AU"/>
              </w:rPr>
            </w:pPr>
            <w:r>
              <w:rPr>
                <w:lang w:val="en-AU"/>
              </w:rPr>
              <w:t xml:space="preserve">We have included a guidance note regarding a minimum quorum and options for changing the quorum requirement. </w:t>
            </w:r>
          </w:p>
        </w:tc>
      </w:tr>
      <w:tr w:rsidR="009A069C" w:rsidRPr="0048268D" w14:paraId="2298AE50" w14:textId="77777777" w:rsidTr="006F01AF">
        <w:trPr>
          <w:trHeight w:val="300"/>
        </w:trPr>
        <w:tc>
          <w:tcPr>
            <w:tcW w:w="0" w:type="auto"/>
          </w:tcPr>
          <w:p w14:paraId="2AA144C8" w14:textId="392F4C66" w:rsidR="009A069C" w:rsidRDefault="009A069C" w:rsidP="009A069C">
            <w:pPr>
              <w:rPr>
                <w:lang w:val="en-AU"/>
              </w:rPr>
            </w:pPr>
            <w:r>
              <w:rPr>
                <w:lang w:val="en-AU"/>
              </w:rPr>
              <w:t xml:space="preserve">Clause </w:t>
            </w:r>
            <w:r w:rsidR="00DD2A87">
              <w:rPr>
                <w:lang w:val="en-AU"/>
              </w:rPr>
              <w:t>71</w:t>
            </w:r>
            <w:r>
              <w:rPr>
                <w:lang w:val="en-AU"/>
              </w:rPr>
              <w:t xml:space="preserve">: </w:t>
            </w:r>
            <w:r w:rsidRPr="00364A5D">
              <w:rPr>
                <w:lang w:val="en-AU"/>
              </w:rPr>
              <w:t>Resolutions of directors without a meeting</w:t>
            </w:r>
          </w:p>
        </w:tc>
        <w:tc>
          <w:tcPr>
            <w:tcW w:w="0" w:type="auto"/>
          </w:tcPr>
          <w:p w14:paraId="07D87172" w14:textId="149EBFF8" w:rsidR="009A069C" w:rsidRDefault="009A069C" w:rsidP="009A069C">
            <w:r>
              <w:t xml:space="preserve">Unanimous consent can be prohibitive. Consider allowing directors’ resolutions to be passed if 75% have signed, as it is higher than what is required for an ordinary resolution </w:t>
            </w:r>
            <w:r w:rsidRPr="009934BC">
              <w:t>but also allows for written resolutions to occur even if one or two directors are unresponsive or out of contact.</w:t>
            </w:r>
          </w:p>
        </w:tc>
        <w:tc>
          <w:tcPr>
            <w:tcW w:w="0" w:type="auto"/>
          </w:tcPr>
          <w:p w14:paraId="1584CC27" w14:textId="12053EB5" w:rsidR="009A069C" w:rsidRDefault="009A069C" w:rsidP="009A069C">
            <w:pPr>
              <w:rPr>
                <w:lang w:val="en-AU"/>
              </w:rPr>
            </w:pPr>
            <w:r>
              <w:rPr>
                <w:lang w:val="en-AU"/>
              </w:rPr>
              <w:t xml:space="preserve">We have retained unanimous consent </w:t>
            </w:r>
            <w:r w:rsidR="00844855">
              <w:rPr>
                <w:lang w:val="en-AU"/>
              </w:rPr>
              <w:t xml:space="preserve">so that </w:t>
            </w:r>
            <w:r>
              <w:rPr>
                <w:lang w:val="en-AU"/>
              </w:rPr>
              <w:t xml:space="preserve">all directors to have an opportunity to comment on the resolution. </w:t>
            </w:r>
          </w:p>
        </w:tc>
      </w:tr>
      <w:tr w:rsidR="00DD2A87" w:rsidRPr="0048268D" w14:paraId="622E3507" w14:textId="77777777" w:rsidTr="006F01AF">
        <w:trPr>
          <w:trHeight w:val="300"/>
        </w:trPr>
        <w:tc>
          <w:tcPr>
            <w:tcW w:w="0" w:type="auto"/>
          </w:tcPr>
          <w:p w14:paraId="01E6D5EE" w14:textId="110E70FE" w:rsidR="00DD2A87" w:rsidRDefault="00DD2A87" w:rsidP="009A069C">
            <w:pPr>
              <w:rPr>
                <w:lang w:val="en-AU"/>
              </w:rPr>
            </w:pPr>
            <w:r>
              <w:rPr>
                <w:lang w:val="en-AU"/>
              </w:rPr>
              <w:t xml:space="preserve">Clause 75: Funds </w:t>
            </w:r>
          </w:p>
        </w:tc>
        <w:tc>
          <w:tcPr>
            <w:tcW w:w="0" w:type="auto"/>
          </w:tcPr>
          <w:p w14:paraId="0FA9B799" w14:textId="36F9BE07" w:rsidR="00DD2A87" w:rsidRDefault="000B2402" w:rsidP="009A069C">
            <w:r>
              <w:t xml:space="preserve">We should include content about raising and borrowing funds. </w:t>
            </w:r>
          </w:p>
        </w:tc>
        <w:tc>
          <w:tcPr>
            <w:tcW w:w="0" w:type="auto"/>
          </w:tcPr>
          <w:p w14:paraId="7CF51B88" w14:textId="3B29D6E0" w:rsidR="00DD2A87" w:rsidRDefault="000B2402" w:rsidP="009A069C">
            <w:pPr>
              <w:rPr>
                <w:lang w:val="en-AU"/>
              </w:rPr>
            </w:pPr>
            <w:r>
              <w:rPr>
                <w:lang w:val="en-AU"/>
              </w:rPr>
              <w:t xml:space="preserve">Adopted. </w:t>
            </w:r>
          </w:p>
        </w:tc>
      </w:tr>
      <w:tr w:rsidR="009A069C" w:rsidRPr="0048268D" w14:paraId="516F1180" w14:textId="77777777" w:rsidTr="006F01AF">
        <w:trPr>
          <w:trHeight w:val="300"/>
        </w:trPr>
        <w:tc>
          <w:tcPr>
            <w:tcW w:w="0" w:type="auto"/>
          </w:tcPr>
          <w:p w14:paraId="171FC784" w14:textId="3217ECCE" w:rsidR="009A069C" w:rsidRDefault="009A069C" w:rsidP="009A069C">
            <w:pPr>
              <w:rPr>
                <w:lang w:val="en-AU"/>
              </w:rPr>
            </w:pPr>
            <w:r>
              <w:rPr>
                <w:lang w:val="en-AU"/>
              </w:rPr>
              <w:t xml:space="preserve">Clause </w:t>
            </w:r>
            <w:r w:rsidR="00665674">
              <w:rPr>
                <w:lang w:val="en-AU"/>
              </w:rPr>
              <w:t>82</w:t>
            </w:r>
            <w:r>
              <w:rPr>
                <w:lang w:val="en-AU"/>
              </w:rPr>
              <w:t xml:space="preserve">: Inspection of records </w:t>
            </w:r>
          </w:p>
        </w:tc>
        <w:tc>
          <w:tcPr>
            <w:tcW w:w="0" w:type="auto"/>
          </w:tcPr>
          <w:p w14:paraId="3935DACF" w14:textId="182FD9BA" w:rsidR="009A069C" w:rsidRDefault="004C454F" w:rsidP="009A069C">
            <w:pPr>
              <w:rPr>
                <w:lang w:val="en-AU"/>
              </w:rPr>
            </w:pPr>
            <w:r>
              <w:t xml:space="preserve">We should make </w:t>
            </w:r>
            <w:r w:rsidR="009A069C">
              <w:rPr>
                <w:lang w:val="en-AU"/>
              </w:rPr>
              <w:t xml:space="preserve">clear that directors’ </w:t>
            </w:r>
            <w:r w:rsidR="009A069C" w:rsidRPr="00FD594C">
              <w:t xml:space="preserve">resolutions/minutes don’t need to be provided to members or can be given in redacted form.  </w:t>
            </w:r>
          </w:p>
        </w:tc>
        <w:tc>
          <w:tcPr>
            <w:tcW w:w="0" w:type="auto"/>
          </w:tcPr>
          <w:p w14:paraId="62181874" w14:textId="53CAC528" w:rsidR="009A069C" w:rsidRPr="007401EF" w:rsidRDefault="009A069C" w:rsidP="009A069C">
            <w:pPr>
              <w:rPr>
                <w:lang w:val="en-AU"/>
              </w:rPr>
            </w:pPr>
            <w:r>
              <w:rPr>
                <w:lang w:val="en-AU"/>
              </w:rPr>
              <w:t xml:space="preserve">Adopted. </w:t>
            </w:r>
          </w:p>
        </w:tc>
      </w:tr>
      <w:tr w:rsidR="00665674" w:rsidRPr="0048268D" w14:paraId="4F63456F" w14:textId="77777777" w:rsidTr="00CC63E1">
        <w:trPr>
          <w:trHeight w:val="300"/>
        </w:trPr>
        <w:tc>
          <w:tcPr>
            <w:tcW w:w="0" w:type="auto"/>
          </w:tcPr>
          <w:p w14:paraId="1CC5A86E" w14:textId="4274BF9C" w:rsidR="00665674" w:rsidRDefault="00665674" w:rsidP="00665674">
            <w:pPr>
              <w:tabs>
                <w:tab w:val="left" w:pos="2070"/>
              </w:tabs>
              <w:rPr>
                <w:lang w:val="en-AU"/>
              </w:rPr>
            </w:pPr>
            <w:r>
              <w:rPr>
                <w:lang w:val="en-AU"/>
              </w:rPr>
              <w:t xml:space="preserve">Clause 82: Inspection of records </w:t>
            </w:r>
          </w:p>
        </w:tc>
        <w:tc>
          <w:tcPr>
            <w:tcW w:w="0" w:type="auto"/>
          </w:tcPr>
          <w:p w14:paraId="25499C9B" w14:textId="309B9EFE" w:rsidR="00665674" w:rsidRDefault="004C454F" w:rsidP="00BA5C21">
            <w:pPr>
              <w:rPr>
                <w:lang w:val="en-AU"/>
              </w:rPr>
            </w:pPr>
            <w:r>
              <w:t xml:space="preserve">We should clarify </w:t>
            </w:r>
            <w:r w:rsidR="00665674">
              <w:rPr>
                <w:lang w:val="en-AU"/>
              </w:rPr>
              <w:t xml:space="preserve">who can access the register of members. </w:t>
            </w:r>
            <w:r>
              <w:t xml:space="preserve">We should </w:t>
            </w:r>
            <w:r>
              <w:rPr>
                <w:lang w:val="en-AU"/>
              </w:rPr>
              <w:t>c</w:t>
            </w:r>
            <w:r w:rsidR="00665674">
              <w:rPr>
                <w:lang w:val="en-AU"/>
              </w:rPr>
              <w:t xml:space="preserve">larify that register of members can only be access for proper purposes. </w:t>
            </w:r>
          </w:p>
        </w:tc>
        <w:tc>
          <w:tcPr>
            <w:tcW w:w="0" w:type="auto"/>
          </w:tcPr>
          <w:p w14:paraId="140999F0" w14:textId="50E4BEA1" w:rsidR="00665674" w:rsidRDefault="004C454F" w:rsidP="00665674">
            <w:pPr>
              <w:rPr>
                <w:lang w:val="en-AU"/>
              </w:rPr>
            </w:pPr>
            <w:r>
              <w:rPr>
                <w:lang w:val="en-AU"/>
              </w:rPr>
              <w:t>Adopted</w:t>
            </w:r>
            <w:r w:rsidR="004E1BFA">
              <w:rPr>
                <w:lang w:val="en-AU"/>
              </w:rPr>
              <w:t>.</w:t>
            </w:r>
          </w:p>
        </w:tc>
      </w:tr>
      <w:tr w:rsidR="009A069C" w:rsidRPr="0048268D" w14:paraId="11434703" w14:textId="77777777" w:rsidTr="006F01AF">
        <w:trPr>
          <w:trHeight w:val="300"/>
        </w:trPr>
        <w:tc>
          <w:tcPr>
            <w:tcW w:w="0" w:type="auto"/>
          </w:tcPr>
          <w:p w14:paraId="5AE65245" w14:textId="06DAFF2F" w:rsidR="009A069C" w:rsidRDefault="009A069C" w:rsidP="009A069C">
            <w:pPr>
              <w:rPr>
                <w:lang w:val="en-AU"/>
              </w:rPr>
            </w:pPr>
            <w:r>
              <w:rPr>
                <w:lang w:val="en-AU"/>
              </w:rPr>
              <w:t>Clause 8</w:t>
            </w:r>
            <w:r w:rsidR="006161E0">
              <w:rPr>
                <w:lang w:val="en-AU"/>
              </w:rPr>
              <w:t>6</w:t>
            </w:r>
            <w:r>
              <w:rPr>
                <w:lang w:val="en-AU"/>
              </w:rPr>
              <w:t xml:space="preserve">: </w:t>
            </w:r>
            <w:r w:rsidR="004E1BFA">
              <w:rPr>
                <w:lang w:val="en-AU"/>
              </w:rPr>
              <w:t>N</w:t>
            </w:r>
            <w:r>
              <w:rPr>
                <w:lang w:val="en-AU"/>
              </w:rPr>
              <w:t xml:space="preserve">otice to members </w:t>
            </w:r>
          </w:p>
        </w:tc>
        <w:tc>
          <w:tcPr>
            <w:tcW w:w="0" w:type="auto"/>
          </w:tcPr>
          <w:p w14:paraId="50EF0CBD" w14:textId="7247CD42" w:rsidR="009A069C" w:rsidRDefault="009A069C" w:rsidP="009A069C">
            <w:pPr>
              <w:rPr>
                <w:lang w:val="en-AU"/>
              </w:rPr>
            </w:pPr>
            <w:r>
              <w:rPr>
                <w:lang w:val="en-AU"/>
              </w:rPr>
              <w:t>Remove “</w:t>
            </w:r>
            <w:r w:rsidRPr="00D423E5">
              <w:rPr>
                <w:lang w:val="en-AU"/>
              </w:rPr>
              <w:t>If the company does not have an address for the member, the company is not required to give notice in person</w:t>
            </w:r>
            <w:r>
              <w:rPr>
                <w:lang w:val="en-AU"/>
              </w:rPr>
              <w:t>” as there is no requirement to give notice in person.</w:t>
            </w:r>
          </w:p>
        </w:tc>
        <w:tc>
          <w:tcPr>
            <w:tcW w:w="0" w:type="auto"/>
          </w:tcPr>
          <w:p w14:paraId="05747B69" w14:textId="34399BE5" w:rsidR="009A069C" w:rsidRDefault="009A069C" w:rsidP="009A069C">
            <w:pPr>
              <w:rPr>
                <w:lang w:val="en-AU"/>
              </w:rPr>
            </w:pPr>
            <w:r>
              <w:rPr>
                <w:lang w:val="en-AU"/>
              </w:rPr>
              <w:t>Adopted</w:t>
            </w:r>
            <w:r w:rsidR="005C6DD8">
              <w:rPr>
                <w:lang w:val="en-AU"/>
              </w:rPr>
              <w:t xml:space="preserve">. </w:t>
            </w:r>
          </w:p>
          <w:p w14:paraId="7DC8892C" w14:textId="46426498" w:rsidR="009A069C" w:rsidRPr="007401EF" w:rsidRDefault="009A069C" w:rsidP="009A069C">
            <w:pPr>
              <w:rPr>
                <w:lang w:val="en-AU"/>
              </w:rPr>
            </w:pPr>
          </w:p>
        </w:tc>
      </w:tr>
      <w:tr w:rsidR="009A069C" w:rsidRPr="0048268D" w14:paraId="5FB516FD" w14:textId="77777777" w:rsidTr="006F01AF">
        <w:trPr>
          <w:trHeight w:val="300"/>
        </w:trPr>
        <w:tc>
          <w:tcPr>
            <w:tcW w:w="0" w:type="auto"/>
          </w:tcPr>
          <w:p w14:paraId="143CEDF8" w14:textId="5E0F0007" w:rsidR="009A069C" w:rsidRDefault="009A069C" w:rsidP="009A069C">
            <w:pPr>
              <w:rPr>
                <w:lang w:val="en-AU"/>
              </w:rPr>
            </w:pPr>
            <w:r>
              <w:rPr>
                <w:lang w:val="en-AU"/>
              </w:rPr>
              <w:t>Clause 9</w:t>
            </w:r>
            <w:r w:rsidR="00D95B01">
              <w:rPr>
                <w:lang w:val="en-AU"/>
              </w:rPr>
              <w:t>3</w:t>
            </w:r>
            <w:r>
              <w:rPr>
                <w:lang w:val="en-AU"/>
              </w:rPr>
              <w:t xml:space="preserve">: </w:t>
            </w:r>
            <w:r w:rsidR="00D95B01">
              <w:rPr>
                <w:lang w:val="en-AU"/>
              </w:rPr>
              <w:t>D</w:t>
            </w:r>
            <w:r>
              <w:rPr>
                <w:lang w:val="en-AU"/>
              </w:rPr>
              <w:t xml:space="preserve">istribution of surplus assets </w:t>
            </w:r>
          </w:p>
        </w:tc>
        <w:tc>
          <w:tcPr>
            <w:tcW w:w="0" w:type="auto"/>
          </w:tcPr>
          <w:p w14:paraId="00820F9A" w14:textId="0BB18686" w:rsidR="009A069C" w:rsidRDefault="009A069C" w:rsidP="009A069C">
            <w:pPr>
              <w:rPr>
                <w:lang w:val="en-AU"/>
              </w:rPr>
            </w:pPr>
            <w:r>
              <w:rPr>
                <w:lang w:val="en-AU"/>
              </w:rPr>
              <w:t xml:space="preserve">It would be more practical for directors to have the power to decide the recipient at first instance. Decision by special resolution is unnecessarily high. </w:t>
            </w:r>
          </w:p>
        </w:tc>
        <w:tc>
          <w:tcPr>
            <w:tcW w:w="0" w:type="auto"/>
          </w:tcPr>
          <w:p w14:paraId="189D2585" w14:textId="56804D7D" w:rsidR="009A069C" w:rsidRPr="004461E5" w:rsidRDefault="009A069C" w:rsidP="009A069C">
            <w:pPr>
              <w:rPr>
                <w:lang w:val="en-AU"/>
              </w:rPr>
            </w:pPr>
            <w:r>
              <w:rPr>
                <w:lang w:val="en-AU"/>
              </w:rPr>
              <w:t xml:space="preserve">We have retained the requirement for the members to pass a special resolution to decide the recipient of the surplus assets. This is used elsewhere, including for incorporated associations. </w:t>
            </w:r>
          </w:p>
        </w:tc>
      </w:tr>
      <w:tr w:rsidR="009A069C" w:rsidRPr="0048268D" w14:paraId="32C83B26" w14:textId="77777777" w:rsidTr="006F01AF">
        <w:trPr>
          <w:trHeight w:val="300"/>
        </w:trPr>
        <w:tc>
          <w:tcPr>
            <w:tcW w:w="0" w:type="auto"/>
          </w:tcPr>
          <w:p w14:paraId="3C227C1E" w14:textId="16DC6C95" w:rsidR="009A069C" w:rsidRDefault="009A069C" w:rsidP="009A069C">
            <w:pPr>
              <w:rPr>
                <w:lang w:val="en-AU"/>
              </w:rPr>
            </w:pPr>
            <w:r>
              <w:rPr>
                <w:lang w:val="en-AU"/>
              </w:rPr>
              <w:t xml:space="preserve">Clause </w:t>
            </w:r>
            <w:r w:rsidR="002C1405">
              <w:rPr>
                <w:lang w:val="en-AU"/>
              </w:rPr>
              <w:t>95</w:t>
            </w:r>
            <w:r>
              <w:rPr>
                <w:lang w:val="en-AU"/>
              </w:rPr>
              <w:t xml:space="preserve">: DGR </w:t>
            </w:r>
          </w:p>
        </w:tc>
        <w:tc>
          <w:tcPr>
            <w:tcW w:w="0" w:type="auto"/>
          </w:tcPr>
          <w:p w14:paraId="12004CD7" w14:textId="3CB624C7" w:rsidR="009A069C" w:rsidRDefault="00084135" w:rsidP="009A069C">
            <w:pPr>
              <w:rPr>
                <w:lang w:val="en-AU"/>
              </w:rPr>
            </w:pPr>
            <w:r>
              <w:rPr>
                <w:lang w:val="en-AU"/>
              </w:rPr>
              <w:t xml:space="preserve">We should include the DGR revocation clause. </w:t>
            </w:r>
          </w:p>
        </w:tc>
        <w:tc>
          <w:tcPr>
            <w:tcW w:w="0" w:type="auto"/>
          </w:tcPr>
          <w:p w14:paraId="30908197" w14:textId="192D219A" w:rsidR="009A069C" w:rsidRDefault="009A069C" w:rsidP="009A069C">
            <w:pPr>
              <w:rPr>
                <w:lang w:val="en-AU"/>
              </w:rPr>
            </w:pPr>
            <w:r>
              <w:rPr>
                <w:lang w:val="en-AU"/>
              </w:rPr>
              <w:t>We are publishing multiple versions of the template with different DGR clauses</w:t>
            </w:r>
            <w:r w:rsidR="00174191">
              <w:rPr>
                <w:lang w:val="en-AU"/>
              </w:rPr>
              <w:t>, as the clause requires depends on whether the endorsement is for the organisation as a whole or for the operation of a fund</w:t>
            </w:r>
            <w:r w:rsidR="00E6366A">
              <w:rPr>
                <w:lang w:val="en-AU"/>
              </w:rPr>
              <w:t xml:space="preserve">, authority or </w:t>
            </w:r>
            <w:r w:rsidR="00027B19">
              <w:rPr>
                <w:lang w:val="en-AU"/>
              </w:rPr>
              <w:t>institution</w:t>
            </w:r>
            <w:r w:rsidR="00E6366A">
              <w:rPr>
                <w:lang w:val="en-AU"/>
              </w:rPr>
              <w:t xml:space="preserve">. </w:t>
            </w:r>
          </w:p>
        </w:tc>
      </w:tr>
      <w:tr w:rsidR="009A069C" w:rsidRPr="0048268D" w14:paraId="1D82E420" w14:textId="77777777" w:rsidTr="006F01AF">
        <w:trPr>
          <w:trHeight w:val="300"/>
        </w:trPr>
        <w:tc>
          <w:tcPr>
            <w:tcW w:w="0" w:type="auto"/>
          </w:tcPr>
          <w:p w14:paraId="679580FB" w14:textId="5DDED085" w:rsidR="009A069C" w:rsidRDefault="009A069C" w:rsidP="009A069C">
            <w:pPr>
              <w:rPr>
                <w:lang w:val="en-AU"/>
              </w:rPr>
            </w:pPr>
            <w:r>
              <w:rPr>
                <w:lang w:val="en-AU"/>
              </w:rPr>
              <w:t xml:space="preserve">Other: bylaws </w:t>
            </w:r>
          </w:p>
        </w:tc>
        <w:tc>
          <w:tcPr>
            <w:tcW w:w="0" w:type="auto"/>
          </w:tcPr>
          <w:p w14:paraId="6D820A94" w14:textId="49305628" w:rsidR="009A069C" w:rsidRDefault="009A069C" w:rsidP="009A069C">
            <w:pPr>
              <w:rPr>
                <w:lang w:val="en-AU"/>
              </w:rPr>
            </w:pPr>
            <w:r>
              <w:rPr>
                <w:lang w:val="en-AU"/>
              </w:rPr>
              <w:t>Reinstate clause regarding by-laws</w:t>
            </w:r>
          </w:p>
        </w:tc>
        <w:tc>
          <w:tcPr>
            <w:tcW w:w="0" w:type="auto"/>
          </w:tcPr>
          <w:p w14:paraId="30DCB119" w14:textId="5C81D74C" w:rsidR="009A069C" w:rsidRDefault="009A069C" w:rsidP="003644A8">
            <w:pPr>
              <w:rPr>
                <w:lang w:val="en-AU"/>
              </w:rPr>
            </w:pPr>
            <w:r>
              <w:rPr>
                <w:lang w:val="en-AU"/>
              </w:rPr>
              <w:t>We ha</w:t>
            </w:r>
            <w:r w:rsidR="001B7A05">
              <w:rPr>
                <w:lang w:val="en-AU"/>
              </w:rPr>
              <w:t>ve</w:t>
            </w:r>
            <w:r>
              <w:rPr>
                <w:lang w:val="en-AU"/>
              </w:rPr>
              <w:t xml:space="preserve"> received feedback that charitable companies have moved away from using by-laws. We’ve included a guidance note in case users want to implement by-laws. </w:t>
            </w:r>
          </w:p>
        </w:tc>
      </w:tr>
      <w:tr w:rsidR="002959B5" w:rsidRPr="0048268D" w14:paraId="5A18E75F" w14:textId="77777777" w:rsidTr="006F01AF">
        <w:trPr>
          <w:trHeight w:val="300"/>
        </w:trPr>
        <w:tc>
          <w:tcPr>
            <w:tcW w:w="0" w:type="auto"/>
          </w:tcPr>
          <w:p w14:paraId="2E25D264" w14:textId="138E0A6F" w:rsidR="002959B5" w:rsidRDefault="002959B5" w:rsidP="009A069C">
            <w:pPr>
              <w:rPr>
                <w:lang w:val="en-AU"/>
              </w:rPr>
            </w:pPr>
            <w:r>
              <w:rPr>
                <w:lang w:val="en-AU"/>
              </w:rPr>
              <w:t xml:space="preserve">Other: circular resolution </w:t>
            </w:r>
          </w:p>
        </w:tc>
        <w:tc>
          <w:tcPr>
            <w:tcW w:w="0" w:type="auto"/>
          </w:tcPr>
          <w:p w14:paraId="7C050D35" w14:textId="6FE6865E" w:rsidR="002959B5" w:rsidRDefault="002959B5" w:rsidP="009A069C">
            <w:pPr>
              <w:rPr>
                <w:lang w:val="en-AU"/>
              </w:rPr>
            </w:pPr>
            <w:r w:rsidRPr="002959B5">
              <w:rPr>
                <w:lang w:val="en-AU"/>
              </w:rPr>
              <w:t>It is unclear why the language within section 54 of this Constitution on ‘circular resolution’ has been replaced by ‘resolutions without meetings’. This is inconsistent with section 248A of the Corporations Act.</w:t>
            </w:r>
          </w:p>
        </w:tc>
        <w:tc>
          <w:tcPr>
            <w:tcW w:w="0" w:type="auto"/>
          </w:tcPr>
          <w:p w14:paraId="68D8A403" w14:textId="6B7773CE" w:rsidR="002959B5" w:rsidRDefault="002959B5" w:rsidP="009A069C">
            <w:pPr>
              <w:rPr>
                <w:lang w:val="en-AU"/>
              </w:rPr>
            </w:pPr>
            <w:r>
              <w:rPr>
                <w:lang w:val="en-AU"/>
              </w:rPr>
              <w:t xml:space="preserve">We have received feedback that the term “circular resolution” is old fashioned and no longer in use. </w:t>
            </w:r>
            <w:r w:rsidR="003775A1">
              <w:rPr>
                <w:lang w:val="en-AU"/>
              </w:rPr>
              <w:t xml:space="preserve">As a result, we have </w:t>
            </w:r>
            <w:r w:rsidR="00D83420">
              <w:rPr>
                <w:lang w:val="en-AU"/>
              </w:rPr>
              <w:t>adopted</w:t>
            </w:r>
            <w:r w:rsidR="003775A1">
              <w:rPr>
                <w:lang w:val="en-AU"/>
              </w:rPr>
              <w:t xml:space="preserve"> the language “resolutions without meetings”. </w:t>
            </w:r>
          </w:p>
        </w:tc>
      </w:tr>
      <w:tr w:rsidR="00542F08" w:rsidRPr="0048268D" w14:paraId="29396132" w14:textId="77777777" w:rsidTr="006F01AF">
        <w:trPr>
          <w:trHeight w:val="300"/>
        </w:trPr>
        <w:tc>
          <w:tcPr>
            <w:tcW w:w="0" w:type="auto"/>
          </w:tcPr>
          <w:p w14:paraId="650FD5E6" w14:textId="1F691819" w:rsidR="00542F08" w:rsidRDefault="00542F08" w:rsidP="009A069C">
            <w:pPr>
              <w:rPr>
                <w:lang w:val="en-AU"/>
              </w:rPr>
            </w:pPr>
            <w:r>
              <w:rPr>
                <w:lang w:val="en-AU"/>
              </w:rPr>
              <w:t>Other: definitions</w:t>
            </w:r>
          </w:p>
        </w:tc>
        <w:tc>
          <w:tcPr>
            <w:tcW w:w="0" w:type="auto"/>
          </w:tcPr>
          <w:p w14:paraId="2B8DB7DD" w14:textId="20FF69C2" w:rsidR="00542F08" w:rsidRPr="002959B5" w:rsidRDefault="00542F08" w:rsidP="009A069C">
            <w:pPr>
              <w:rPr>
                <w:lang w:val="en-AU"/>
              </w:rPr>
            </w:pPr>
            <w:r>
              <w:rPr>
                <w:lang w:val="en-AU"/>
              </w:rPr>
              <w:t xml:space="preserve">Move the definitions to the start of the document.  </w:t>
            </w:r>
          </w:p>
        </w:tc>
        <w:tc>
          <w:tcPr>
            <w:tcW w:w="0" w:type="auto"/>
          </w:tcPr>
          <w:p w14:paraId="76D374EB" w14:textId="02097B4D" w:rsidR="00542F08" w:rsidRDefault="00542F08" w:rsidP="009A069C">
            <w:pPr>
              <w:rPr>
                <w:lang w:val="en-AU"/>
              </w:rPr>
            </w:pPr>
            <w:r>
              <w:rPr>
                <w:lang w:val="en-AU"/>
              </w:rPr>
              <w:t xml:space="preserve">Adopted. </w:t>
            </w:r>
          </w:p>
        </w:tc>
      </w:tr>
      <w:tr w:rsidR="009A069C" w:rsidRPr="0048268D" w14:paraId="2B1D4B82" w14:textId="77777777" w:rsidTr="006F01AF">
        <w:trPr>
          <w:trHeight w:val="300"/>
        </w:trPr>
        <w:tc>
          <w:tcPr>
            <w:tcW w:w="0" w:type="auto"/>
          </w:tcPr>
          <w:p w14:paraId="661DB360" w14:textId="6553F7F7" w:rsidR="009A069C" w:rsidRDefault="009A069C" w:rsidP="009A069C">
            <w:pPr>
              <w:rPr>
                <w:lang w:val="en-AU"/>
              </w:rPr>
            </w:pPr>
            <w:r>
              <w:rPr>
                <w:lang w:val="en-AU"/>
              </w:rPr>
              <w:t xml:space="preserve">General: s 111L of the Corporations Act </w:t>
            </w:r>
          </w:p>
        </w:tc>
        <w:tc>
          <w:tcPr>
            <w:tcW w:w="0" w:type="auto"/>
          </w:tcPr>
          <w:p w14:paraId="1C7758FF" w14:textId="303BE164" w:rsidR="009A069C" w:rsidRDefault="009A069C" w:rsidP="009A069C">
            <w:pPr>
              <w:rPr>
                <w:lang w:val="en-AU"/>
              </w:rPr>
            </w:pPr>
            <w:r>
              <w:rPr>
                <w:lang w:val="en-AU"/>
              </w:rPr>
              <w:t>We need to address gaps created because we do not address items covered by those provisions struck out by s 111L.</w:t>
            </w:r>
          </w:p>
        </w:tc>
        <w:tc>
          <w:tcPr>
            <w:tcW w:w="0" w:type="auto"/>
          </w:tcPr>
          <w:p w14:paraId="299DF06D" w14:textId="6CB11452" w:rsidR="009A069C" w:rsidRPr="001A093F" w:rsidRDefault="009A069C" w:rsidP="00BA5C21">
            <w:pPr>
              <w:rPr>
                <w:lang w:val="en-AU"/>
              </w:rPr>
            </w:pPr>
            <w:r>
              <w:rPr>
                <w:lang w:val="en-AU"/>
              </w:rPr>
              <w:t xml:space="preserve">We have reviewed s 111L. Many of the sections turned off relate to reporting to ASIC. Others relate to directors’ duties and conflicts of interest. In relation to the remaining provisions, we have made </w:t>
            </w:r>
            <w:r w:rsidR="00BA5C21">
              <w:rPr>
                <w:lang w:val="en-AU"/>
              </w:rPr>
              <w:t xml:space="preserve">certain amendments. </w:t>
            </w:r>
          </w:p>
        </w:tc>
      </w:tr>
      <w:tr w:rsidR="007C283F" w:rsidRPr="0048268D" w14:paraId="10368E17" w14:textId="77777777" w:rsidTr="006F01AF">
        <w:trPr>
          <w:trHeight w:val="300"/>
        </w:trPr>
        <w:tc>
          <w:tcPr>
            <w:tcW w:w="0" w:type="auto"/>
          </w:tcPr>
          <w:p w14:paraId="1B49C031" w14:textId="57CF866C" w:rsidR="007C283F" w:rsidRDefault="007C283F" w:rsidP="009A069C">
            <w:pPr>
              <w:rPr>
                <w:lang w:val="en-AU"/>
              </w:rPr>
            </w:pPr>
            <w:r>
              <w:rPr>
                <w:lang w:val="en-AU"/>
              </w:rPr>
              <w:t xml:space="preserve">General: use of defined term “chairperson” </w:t>
            </w:r>
          </w:p>
        </w:tc>
        <w:tc>
          <w:tcPr>
            <w:tcW w:w="0" w:type="auto"/>
          </w:tcPr>
          <w:p w14:paraId="775ED3F7" w14:textId="00724D94" w:rsidR="007C283F" w:rsidRDefault="007C283F" w:rsidP="009A069C">
            <w:pPr>
              <w:rPr>
                <w:lang w:val="en-AU"/>
              </w:rPr>
            </w:pPr>
            <w:r>
              <w:rPr>
                <w:lang w:val="en-AU"/>
              </w:rPr>
              <w:t xml:space="preserve">There is inconsistent use of the defined term “chairperson”. </w:t>
            </w:r>
            <w:r w:rsidR="00A21D15" w:rsidRPr="00A21D15">
              <w:rPr>
                <w:lang w:val="en-AU"/>
              </w:rPr>
              <w:t>For example, the defined term should not be used in clause 25 as it refers to the role of the chairperson; the term should not be restricted to the elected chairperson defined in clause 69</w:t>
            </w:r>
            <w:r w:rsidR="00C13D1B">
              <w:rPr>
                <w:lang w:val="en-AU"/>
              </w:rPr>
              <w:t xml:space="preserve">. </w:t>
            </w:r>
          </w:p>
        </w:tc>
        <w:tc>
          <w:tcPr>
            <w:tcW w:w="0" w:type="auto"/>
          </w:tcPr>
          <w:p w14:paraId="0BF6A577" w14:textId="16A71308" w:rsidR="007C283F" w:rsidRDefault="00C13D1B" w:rsidP="009A069C">
            <w:pPr>
              <w:rPr>
                <w:lang w:val="en-AU"/>
              </w:rPr>
            </w:pPr>
            <w:r>
              <w:rPr>
                <w:lang w:val="en-AU"/>
              </w:rPr>
              <w:t xml:space="preserve">Adopted. </w:t>
            </w:r>
          </w:p>
        </w:tc>
      </w:tr>
      <w:tr w:rsidR="009A069C" w:rsidRPr="0048268D" w14:paraId="7B4E0D96" w14:textId="77777777" w:rsidTr="006F01AF">
        <w:trPr>
          <w:trHeight w:val="300"/>
        </w:trPr>
        <w:tc>
          <w:tcPr>
            <w:tcW w:w="0" w:type="auto"/>
          </w:tcPr>
          <w:p w14:paraId="43C60D85" w14:textId="08182F27" w:rsidR="009A069C" w:rsidRDefault="009A069C" w:rsidP="009A069C">
            <w:pPr>
              <w:rPr>
                <w:lang w:val="en-AU"/>
              </w:rPr>
            </w:pPr>
            <w:r>
              <w:rPr>
                <w:lang w:val="en-AU"/>
              </w:rPr>
              <w:t>General: guidance</w:t>
            </w:r>
          </w:p>
        </w:tc>
        <w:tc>
          <w:tcPr>
            <w:tcW w:w="0" w:type="auto"/>
          </w:tcPr>
          <w:p w14:paraId="20017B77" w14:textId="3E6E3733" w:rsidR="009A069C" w:rsidRDefault="009A069C" w:rsidP="009A069C">
            <w:pPr>
              <w:rPr>
                <w:lang w:val="en-AU"/>
              </w:rPr>
            </w:pPr>
            <w:r>
              <w:rPr>
                <w:lang w:val="en-AU"/>
              </w:rPr>
              <w:t xml:space="preserve">Suggest publishing an updated version of the old guide. It was useful in providing guidelines on what could be changed to suit the needs of the charity and what other supporting documents were needed to fulfil governance requirements </w:t>
            </w:r>
          </w:p>
        </w:tc>
        <w:tc>
          <w:tcPr>
            <w:tcW w:w="0" w:type="auto"/>
          </w:tcPr>
          <w:p w14:paraId="73EA3707" w14:textId="61F6F7E1" w:rsidR="009A069C" w:rsidRPr="00B01975" w:rsidRDefault="009A069C" w:rsidP="009A3216">
            <w:pPr>
              <w:rPr>
                <w:lang w:val="en-AU"/>
              </w:rPr>
            </w:pPr>
            <w:r>
              <w:rPr>
                <w:lang w:val="en-AU"/>
              </w:rPr>
              <w:t>We considered the length of the old guide may have been prohibitive for some users.</w:t>
            </w:r>
            <w:r w:rsidR="007E1CDE">
              <w:rPr>
                <w:lang w:val="en-AU"/>
              </w:rPr>
              <w:t xml:space="preserve"> As a result, we have built guidance into the template constitution. </w:t>
            </w:r>
          </w:p>
        </w:tc>
      </w:tr>
    </w:tbl>
    <w:p w14:paraId="0A0863D5" w14:textId="191C7483" w:rsidR="39A5AF55" w:rsidRPr="0048268D" w:rsidRDefault="39A5AF55">
      <w:pPr>
        <w:rPr>
          <w:lang w:val="en-AU"/>
        </w:rPr>
      </w:pPr>
    </w:p>
    <w:sectPr w:rsidR="39A5AF55" w:rsidRPr="0048268D" w:rsidSect="006F01AF">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DEB3" w14:textId="77777777" w:rsidR="00D66A40" w:rsidRDefault="00D66A40" w:rsidP="00255B41">
      <w:pPr>
        <w:spacing w:after="0" w:line="240" w:lineRule="auto"/>
      </w:pPr>
      <w:r>
        <w:separator/>
      </w:r>
    </w:p>
  </w:endnote>
  <w:endnote w:type="continuationSeparator" w:id="0">
    <w:p w14:paraId="756246DB" w14:textId="77777777" w:rsidR="00D66A40" w:rsidRDefault="00D66A40" w:rsidP="00255B41">
      <w:pPr>
        <w:spacing w:after="0" w:line="240" w:lineRule="auto"/>
      </w:pPr>
      <w:r>
        <w:continuationSeparator/>
      </w:r>
    </w:p>
  </w:endnote>
  <w:endnote w:type="continuationNotice" w:id="1">
    <w:p w14:paraId="39ABED96" w14:textId="77777777" w:rsidR="00D66A40" w:rsidRDefault="00D66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2188" w14:textId="7BC71667" w:rsidR="00255B41" w:rsidRDefault="00255B41">
    <w:pPr>
      <w:pStyle w:val="Footer"/>
    </w:pPr>
    <w:r>
      <w:rPr>
        <w:noProof/>
      </w:rPr>
      <mc:AlternateContent>
        <mc:Choice Requires="wps">
          <w:drawing>
            <wp:anchor distT="0" distB="0" distL="0" distR="0" simplePos="0" relativeHeight="251658244" behindDoc="0" locked="0" layoutInCell="1" allowOverlap="1" wp14:anchorId="1FB357E5" wp14:editId="5ED441B4">
              <wp:simplePos x="635" y="635"/>
              <wp:positionH relativeFrom="page">
                <wp:align>center</wp:align>
              </wp:positionH>
              <wp:positionV relativeFrom="page">
                <wp:align>bottom</wp:align>
              </wp:positionV>
              <wp:extent cx="457200" cy="352425"/>
              <wp:effectExtent l="0" t="0" r="0" b="0"/>
              <wp:wrapNone/>
              <wp:docPr id="16909351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23326CC" w14:textId="1F641DB4"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357E5" id="_x0000_t202" coordsize="21600,21600" o:spt="202" path="m,l,21600r21600,l21600,xe">
              <v:stroke joinstyle="miter"/>
              <v:path gradientshapeok="t" o:connecttype="rect"/>
            </v:shapetype>
            <v:shape id="Text Box 5" o:spid="_x0000_s1028" type="#_x0000_t202" alt="OFFICIAL" style="position:absolute;margin-left:0;margin-top:0;width:36pt;height:27.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16Dg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V8tk4/Q6qEy2FMPDtnVw31HojfHgSSATTtCTa&#10;8EiHNtCVHM4WZzXgj7/5Yz7hTlHOOhJMyS0pmjPzzRIfUVujgaOxS8b0cz6P8NhDewckwym9CCeT&#10;SV4MZjQ1QvtCcl7FRhQSVlK7ku9G8y4MyqXnINVqlZJIRk6Ejd06GUtHuCKWz/2LQHcGPBBTDzCq&#10;SRSvcB9y403vVodA6CdSIrQDkGfESYKJ1vNziRr/9T9lXR/18icA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ANKrXoOAgAAHAQA&#10;AA4AAAAAAAAAAAAAAAAALgIAAGRycy9lMm9Eb2MueG1sUEsBAi0AFAAGAAgAAAAhAHi5SHDZAAAA&#10;AwEAAA8AAAAAAAAAAAAAAAAAaAQAAGRycy9kb3ducmV2LnhtbFBLBQYAAAAABAAEAPMAAABuBQAA&#10;AAA=&#10;" filled="f" stroked="f">
              <v:textbox style="mso-fit-shape-to-text:t" inset="0,0,0,15pt">
                <w:txbxContent>
                  <w:p w14:paraId="223326CC" w14:textId="1F641DB4"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6CED" w14:textId="0C4F18E8" w:rsidR="00255B41" w:rsidRDefault="00255B41">
    <w:pPr>
      <w:pStyle w:val="Footer"/>
    </w:pPr>
    <w:r>
      <w:rPr>
        <w:noProof/>
      </w:rPr>
      <mc:AlternateContent>
        <mc:Choice Requires="wps">
          <w:drawing>
            <wp:anchor distT="0" distB="0" distL="0" distR="0" simplePos="0" relativeHeight="251658245" behindDoc="0" locked="0" layoutInCell="1" allowOverlap="1" wp14:anchorId="517B38F9" wp14:editId="4477C919">
              <wp:simplePos x="635" y="635"/>
              <wp:positionH relativeFrom="page">
                <wp:align>center</wp:align>
              </wp:positionH>
              <wp:positionV relativeFrom="page">
                <wp:align>bottom</wp:align>
              </wp:positionV>
              <wp:extent cx="457200" cy="352425"/>
              <wp:effectExtent l="0" t="0" r="0" b="0"/>
              <wp:wrapNone/>
              <wp:docPr id="19555445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35754355" w14:textId="6EA4D477"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7B38F9" id="_x0000_t202" coordsize="21600,21600" o:spt="202" path="m,l,21600r21600,l21600,xe">
              <v:stroke joinstyle="miter"/>
              <v:path gradientshapeok="t" o:connecttype="rect"/>
            </v:shapetype>
            <v:shape id="Text Box 6" o:spid="_x0000_s1029" type="#_x0000_t202" alt="OFFICIAL" style="position:absolute;margin-left:0;margin-top:0;width:36pt;height:27.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filled="f" stroked="f">
              <v:textbox style="mso-fit-shape-to-text:t" inset="0,0,0,15pt">
                <w:txbxContent>
                  <w:p w14:paraId="35754355" w14:textId="6EA4D477"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5269" w14:textId="45EC100A" w:rsidR="00255B41" w:rsidRDefault="00255B41">
    <w:pPr>
      <w:pStyle w:val="Footer"/>
    </w:pPr>
    <w:r>
      <w:rPr>
        <w:noProof/>
      </w:rPr>
      <mc:AlternateContent>
        <mc:Choice Requires="wps">
          <w:drawing>
            <wp:anchor distT="0" distB="0" distL="0" distR="0" simplePos="0" relativeHeight="251658243" behindDoc="0" locked="0" layoutInCell="1" allowOverlap="1" wp14:anchorId="0C301CBD" wp14:editId="59BCC7EE">
              <wp:simplePos x="635" y="635"/>
              <wp:positionH relativeFrom="page">
                <wp:align>center</wp:align>
              </wp:positionH>
              <wp:positionV relativeFrom="page">
                <wp:align>bottom</wp:align>
              </wp:positionV>
              <wp:extent cx="457200" cy="352425"/>
              <wp:effectExtent l="0" t="0" r="0" b="0"/>
              <wp:wrapNone/>
              <wp:docPr id="15868437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5D92507E" w14:textId="5126D4C1"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01CBD" id="_x0000_t202" coordsize="21600,21600" o:spt="202" path="m,l,21600r21600,l21600,xe">
              <v:stroke joinstyle="miter"/>
              <v:path gradientshapeok="t" o:connecttype="rect"/>
            </v:shapetype>
            <v:shape id="Text Box 4" o:spid="_x0000_s1031" type="#_x0000_t202" alt="OFFICIAL" style="position:absolute;margin-left:0;margin-top:0;width:36pt;height:27.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DKDAIAABw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uK577Js4X6SEshnPgOXq5aar0WIT4JJIJpWhJt&#10;fKRDG+gqDmeLswbwx9/8KZ9wpyhnHQmm4o4UzZn55oiPpK3BwMHYZmPyeTxL8Li9vQOS4YRehJfZ&#10;JC9GM5gawb6QnJepEYWEk9Su4tvBvIsn5dJzkGq5zEkkIy/i2m28TKUTXAnL5/5FoD8DHompBxjU&#10;JMpXuJ9y083gl/tI6GdSrkCeEScJZlrPzyVp/Nf/nHV91Iuf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AdrDKDAIAABwEAAAO&#10;AAAAAAAAAAAAAAAAAC4CAABkcnMvZTJvRG9jLnhtbFBLAQItABQABgAIAAAAIQB4uUhw2QAAAAMB&#10;AAAPAAAAAAAAAAAAAAAAAGYEAABkcnMvZG93bnJldi54bWxQSwUGAAAAAAQABADzAAAAbAUAAAAA&#10;" filled="f" stroked="f">
              <v:textbox style="mso-fit-shape-to-text:t" inset="0,0,0,15pt">
                <w:txbxContent>
                  <w:p w14:paraId="5D92507E" w14:textId="5126D4C1"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26F9" w14:textId="77777777" w:rsidR="00D66A40" w:rsidRDefault="00D66A40" w:rsidP="00255B41">
      <w:pPr>
        <w:spacing w:after="0" w:line="240" w:lineRule="auto"/>
      </w:pPr>
      <w:r>
        <w:separator/>
      </w:r>
    </w:p>
  </w:footnote>
  <w:footnote w:type="continuationSeparator" w:id="0">
    <w:p w14:paraId="4FFD5494" w14:textId="77777777" w:rsidR="00D66A40" w:rsidRDefault="00D66A40" w:rsidP="00255B41">
      <w:pPr>
        <w:spacing w:after="0" w:line="240" w:lineRule="auto"/>
      </w:pPr>
      <w:r>
        <w:continuationSeparator/>
      </w:r>
    </w:p>
  </w:footnote>
  <w:footnote w:type="continuationNotice" w:id="1">
    <w:p w14:paraId="2D8A2BAF" w14:textId="77777777" w:rsidR="00D66A40" w:rsidRDefault="00D66A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B025" w14:textId="354D66EA" w:rsidR="00255B41" w:rsidRDefault="00255B41">
    <w:pPr>
      <w:pStyle w:val="Header"/>
    </w:pPr>
    <w:r>
      <w:rPr>
        <w:noProof/>
      </w:rPr>
      <mc:AlternateContent>
        <mc:Choice Requires="wps">
          <w:drawing>
            <wp:anchor distT="0" distB="0" distL="0" distR="0" simplePos="0" relativeHeight="251658241" behindDoc="0" locked="0" layoutInCell="1" allowOverlap="1" wp14:anchorId="7572016C" wp14:editId="2DCC16FE">
              <wp:simplePos x="635" y="635"/>
              <wp:positionH relativeFrom="page">
                <wp:align>center</wp:align>
              </wp:positionH>
              <wp:positionV relativeFrom="page">
                <wp:align>top</wp:align>
              </wp:positionV>
              <wp:extent cx="457200" cy="352425"/>
              <wp:effectExtent l="0" t="0" r="0" b="9525"/>
              <wp:wrapNone/>
              <wp:docPr id="11031950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C51CEDD" w14:textId="5979B971"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2016C" id="_x0000_t202" coordsize="21600,21600" o:spt="202" path="m,l,21600r21600,l21600,xe">
              <v:stroke joinstyle="miter"/>
              <v:path gradientshapeok="t" o:connecttype="rect"/>
            </v:shapetype>
            <v:shape id="Text Box 2" o:spid="_x0000_s1026" type="#_x0000_t202" alt="OFFICIAL" style="position:absolute;margin-left:0;margin-top:0;width:36pt;height:27.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filled="f" stroked="f">
              <v:textbox style="mso-fit-shape-to-text:t" inset="0,15pt,0,0">
                <w:txbxContent>
                  <w:p w14:paraId="2C51CEDD" w14:textId="5979B971"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5F08" w14:textId="5D38297F" w:rsidR="00255B41" w:rsidRDefault="003B5A84" w:rsidP="00771906">
    <w:pPr>
      <w:pStyle w:val="Header"/>
      <w:jc w:val="right"/>
    </w:pPr>
    <w:sdt>
      <w:sdtPr>
        <w:id w:val="-1657150972"/>
        <w:docPartObj>
          <w:docPartGallery w:val="Watermarks"/>
          <w:docPartUnique/>
        </w:docPartObj>
      </w:sdtPr>
      <w:sdtContent>
        <w:r>
          <w:rPr>
            <w:noProof/>
          </w:rPr>
          <w:pict w14:anchorId="20C3C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F2F1C">
      <w:rPr>
        <w:noProof/>
        <w:lang w:eastAsia="en-AU"/>
      </w:rPr>
      <w:drawing>
        <wp:inline distT="0" distB="0" distL="0" distR="0" wp14:anchorId="6EB9F037" wp14:editId="6E417081">
          <wp:extent cx="2733675" cy="72255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nc_cobranded_rgb.png"/>
                  <pic:cNvPicPr/>
                </pic:nvPicPr>
                <pic:blipFill>
                  <a:blip r:embed="rId1">
                    <a:extLst>
                      <a:ext uri="{28A0092B-C50C-407E-A947-70E740481C1C}">
                        <a14:useLocalDpi xmlns:a14="http://schemas.microsoft.com/office/drawing/2010/main" val="0"/>
                      </a:ext>
                    </a:extLst>
                  </a:blip>
                  <a:stretch>
                    <a:fillRect/>
                  </a:stretch>
                </pic:blipFill>
                <pic:spPr>
                  <a:xfrm>
                    <a:off x="0" y="0"/>
                    <a:ext cx="2760493" cy="729647"/>
                  </a:xfrm>
                  <a:prstGeom prst="rect">
                    <a:avLst/>
                  </a:prstGeom>
                </pic:spPr>
              </pic:pic>
            </a:graphicData>
          </a:graphic>
        </wp:inline>
      </w:drawing>
    </w:r>
    <w:r w:rsidR="00255B41">
      <w:rPr>
        <w:noProof/>
      </w:rPr>
      <mc:AlternateContent>
        <mc:Choice Requires="wps">
          <w:drawing>
            <wp:anchor distT="0" distB="0" distL="0" distR="0" simplePos="0" relativeHeight="251658242" behindDoc="0" locked="0" layoutInCell="1" allowOverlap="1" wp14:anchorId="5D4C44FB" wp14:editId="1B628717">
              <wp:simplePos x="635" y="635"/>
              <wp:positionH relativeFrom="page">
                <wp:align>center</wp:align>
              </wp:positionH>
              <wp:positionV relativeFrom="page">
                <wp:align>top</wp:align>
              </wp:positionV>
              <wp:extent cx="457200" cy="352425"/>
              <wp:effectExtent l="0" t="0" r="0" b="9525"/>
              <wp:wrapNone/>
              <wp:docPr id="14606513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0AA38742" w14:textId="3E88A659"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C44FB" id="_x0000_t202" coordsize="21600,21600" o:spt="202" path="m,l,21600r21600,l21600,xe">
              <v:stroke joinstyle="miter"/>
              <v:path gradientshapeok="t" o:connecttype="rect"/>
            </v:shapetype>
            <v:shape id="Text Box 3" o:spid="_x0000_s1027" type="#_x0000_t202" alt="OFFICIAL" style="position:absolute;left:0;text-align:left;margin-left:0;margin-top:0;width:36pt;height:27.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CpMK4gLAgAAHAQAAA4A&#10;AAAAAAAAAAAAAAAALgIAAGRycy9lMm9Eb2MueG1sUEsBAi0AFAAGAAgAAAAhAJtKlM/ZAAAAAwEA&#10;AA8AAAAAAAAAAAAAAAAAZQQAAGRycy9kb3ducmV2LnhtbFBLBQYAAAAABAAEAPMAAABrBQAAAAA=&#10;" filled="f" stroked="f">
              <v:textbox style="mso-fit-shape-to-text:t" inset="0,15pt,0,0">
                <w:txbxContent>
                  <w:p w14:paraId="0AA38742" w14:textId="3E88A659"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AD7F" w14:textId="7BA7EA85" w:rsidR="00255B41" w:rsidRDefault="00255B41">
    <w:pPr>
      <w:pStyle w:val="Header"/>
    </w:pPr>
    <w:r>
      <w:rPr>
        <w:noProof/>
      </w:rPr>
      <mc:AlternateContent>
        <mc:Choice Requires="wps">
          <w:drawing>
            <wp:anchor distT="0" distB="0" distL="0" distR="0" simplePos="0" relativeHeight="251658240" behindDoc="0" locked="0" layoutInCell="1" allowOverlap="1" wp14:anchorId="73DCF7C9" wp14:editId="0140604E">
              <wp:simplePos x="635" y="635"/>
              <wp:positionH relativeFrom="page">
                <wp:align>center</wp:align>
              </wp:positionH>
              <wp:positionV relativeFrom="page">
                <wp:align>top</wp:align>
              </wp:positionV>
              <wp:extent cx="457200" cy="352425"/>
              <wp:effectExtent l="0" t="0" r="0" b="9525"/>
              <wp:wrapNone/>
              <wp:docPr id="15832872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EF219CF" w14:textId="58D512D5"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DCF7C9" id="_x0000_t202" coordsize="21600,21600" o:spt="202" path="m,l,21600r21600,l21600,xe">
              <v:stroke joinstyle="miter"/>
              <v:path gradientshapeok="t" o:connecttype="rect"/>
            </v:shapetype>
            <v:shape id="Text Box 1" o:spid="_x0000_s1030" type="#_x0000_t202" alt="OFFICIAL" style="position:absolute;margin-left:0;margin-top:0;width:36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NDDQIAABwEAAAOAAAAZHJzL2Uyb0RvYy54bWysU01v2zAMvQ/YfxB0X+xkzT6MOEXWIsOA&#10;oC2QDj0rshwbkERBYmJnv36UHCdbt9Owi0yTFD/ee1rc9kazo/KhBVvy6STnTFkJVWv3Jf/+vH73&#10;ibOAwlZCg1UlP6nAb5dv3yw6V6gZNKAr5RkVsaHoXMkbRFdkWZCNMiJMwClLwRq8EUi/fp9VXnRU&#10;3ehslucfsg585TxIFQJ574cgX6b6da0kPtZ1UMh0yWk2TKdP5y6e2XIhir0XrmnleQzxD1MY0Vpq&#10;eil1L1Cwg2//KGVa6SFAjRMJJoO6bqVKO9A20/zVNttGOJV2IXCCu8AU/l9Z+XDcuifPsP8CPREY&#10;AelcKAI54z597U380qSM4gTh6QKb6pFJct7MPxIVnEkKvZ/PbmbzWCW7XnY+4FcFhkWj5J5YSWCJ&#10;4ybgkDqmxF4W1q3WiRltf3NQzejJrhNGC/tdz9qKBhmn30F1oqU8DHwHJ9cttd6IgE/CE8E0LYkW&#10;H+moNXQlh7PFWQP+x9/8MZ9wpyhnHQmm5JYUzZn+ZomPqK1kTD/n8wiGH9270bAHcwckwym9CCeT&#10;GfNQj2btwbyQnFexEYWEldSu5Diadzgol56DVKtVSiIZOYEbu3Uylo5wRSyf+xfh3RlwJKYeYFST&#10;KF7hPuTGm8GtDkjoJ1IitAOQZ8RJgonW83OJGv/1P2VdH/XyJwA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8w5TQw0CAAAcBAAA&#10;DgAAAAAAAAAAAAAAAAAuAgAAZHJzL2Uyb0RvYy54bWxQSwECLQAUAAYACAAAACEAm0qUz9kAAAAD&#10;AQAADwAAAAAAAAAAAAAAAABnBAAAZHJzL2Rvd25yZXYueG1sUEsFBgAAAAAEAAQA8wAAAG0FAAAA&#10;AA==&#10;" filled="f" stroked="f">
              <v:textbox style="mso-fit-shape-to-text:t" inset="0,15pt,0,0">
                <w:txbxContent>
                  <w:p w14:paraId="6EF219CF" w14:textId="58D512D5" w:rsidR="00255B41" w:rsidRPr="00255B41" w:rsidRDefault="00255B41" w:rsidP="00255B41">
                    <w:pPr>
                      <w:spacing w:after="0"/>
                      <w:rPr>
                        <w:rFonts w:ascii="Calibri" w:eastAsia="Calibri" w:hAnsi="Calibri" w:cs="Calibri"/>
                        <w:noProof/>
                        <w:color w:val="FF0000"/>
                        <w:sz w:val="20"/>
                        <w:szCs w:val="20"/>
                      </w:rPr>
                    </w:pPr>
                    <w:r w:rsidRPr="00255B41">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DEF"/>
    <w:multiLevelType w:val="hybridMultilevel"/>
    <w:tmpl w:val="C37CE408"/>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 w15:restartNumberingAfterBreak="0">
    <w:nsid w:val="2B8E256D"/>
    <w:multiLevelType w:val="hybridMultilevel"/>
    <w:tmpl w:val="706ECE18"/>
    <w:lvl w:ilvl="0" w:tplc="6D90BCD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5309328">
    <w:abstractNumId w:val="0"/>
  </w:num>
  <w:num w:numId="2" w16cid:durableId="1383090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02A7DF"/>
    <w:rsid w:val="00001D37"/>
    <w:rsid w:val="000161AE"/>
    <w:rsid w:val="0002344F"/>
    <w:rsid w:val="00026EEC"/>
    <w:rsid w:val="00027B19"/>
    <w:rsid w:val="00036188"/>
    <w:rsid w:val="0003764E"/>
    <w:rsid w:val="00037D96"/>
    <w:rsid w:val="0004046A"/>
    <w:rsid w:val="00043040"/>
    <w:rsid w:val="00043C90"/>
    <w:rsid w:val="00045097"/>
    <w:rsid w:val="00053C15"/>
    <w:rsid w:val="00053C31"/>
    <w:rsid w:val="00057599"/>
    <w:rsid w:val="000663E3"/>
    <w:rsid w:val="00083FEE"/>
    <w:rsid w:val="00084135"/>
    <w:rsid w:val="0009008E"/>
    <w:rsid w:val="000910BD"/>
    <w:rsid w:val="000959D6"/>
    <w:rsid w:val="000A38E6"/>
    <w:rsid w:val="000A5EF0"/>
    <w:rsid w:val="000A643B"/>
    <w:rsid w:val="000B2402"/>
    <w:rsid w:val="000B4B89"/>
    <w:rsid w:val="000B7153"/>
    <w:rsid w:val="000B7A06"/>
    <w:rsid w:val="000C668A"/>
    <w:rsid w:val="000C7B49"/>
    <w:rsid w:val="000D451F"/>
    <w:rsid w:val="000E1CDD"/>
    <w:rsid w:val="000E3A3A"/>
    <w:rsid w:val="000E5674"/>
    <w:rsid w:val="000F01D2"/>
    <w:rsid w:val="000F2F5C"/>
    <w:rsid w:val="000F3151"/>
    <w:rsid w:val="000F39F9"/>
    <w:rsid w:val="0010023A"/>
    <w:rsid w:val="00104195"/>
    <w:rsid w:val="001075E1"/>
    <w:rsid w:val="00110C07"/>
    <w:rsid w:val="0011157C"/>
    <w:rsid w:val="00111B92"/>
    <w:rsid w:val="0011371E"/>
    <w:rsid w:val="00121DDF"/>
    <w:rsid w:val="00135BC2"/>
    <w:rsid w:val="0013659E"/>
    <w:rsid w:val="00136DDA"/>
    <w:rsid w:val="00136E7E"/>
    <w:rsid w:val="00137294"/>
    <w:rsid w:val="00143F81"/>
    <w:rsid w:val="00147EC5"/>
    <w:rsid w:val="00156107"/>
    <w:rsid w:val="0016246F"/>
    <w:rsid w:val="0016620F"/>
    <w:rsid w:val="00167303"/>
    <w:rsid w:val="00172008"/>
    <w:rsid w:val="00174191"/>
    <w:rsid w:val="00177515"/>
    <w:rsid w:val="00181EDD"/>
    <w:rsid w:val="00187107"/>
    <w:rsid w:val="00190BA6"/>
    <w:rsid w:val="00195E58"/>
    <w:rsid w:val="001A093F"/>
    <w:rsid w:val="001A4DDD"/>
    <w:rsid w:val="001B7A05"/>
    <w:rsid w:val="001C04D1"/>
    <w:rsid w:val="001C2BAA"/>
    <w:rsid w:val="001C6A48"/>
    <w:rsid w:val="001C6DE7"/>
    <w:rsid w:val="001D095E"/>
    <w:rsid w:val="001D405B"/>
    <w:rsid w:val="001D484B"/>
    <w:rsid w:val="001F058A"/>
    <w:rsid w:val="001F0A50"/>
    <w:rsid w:val="001F113C"/>
    <w:rsid w:val="00201898"/>
    <w:rsid w:val="002059F8"/>
    <w:rsid w:val="00214190"/>
    <w:rsid w:val="0022230A"/>
    <w:rsid w:val="00222DB3"/>
    <w:rsid w:val="00223BE5"/>
    <w:rsid w:val="002321CE"/>
    <w:rsid w:val="00233ADE"/>
    <w:rsid w:val="00235D34"/>
    <w:rsid w:val="0024337F"/>
    <w:rsid w:val="00245659"/>
    <w:rsid w:val="00250FF4"/>
    <w:rsid w:val="00252B4C"/>
    <w:rsid w:val="00255B41"/>
    <w:rsid w:val="002562E6"/>
    <w:rsid w:val="002604A8"/>
    <w:rsid w:val="002619CB"/>
    <w:rsid w:val="002620F8"/>
    <w:rsid w:val="00262B6E"/>
    <w:rsid w:val="00271ADB"/>
    <w:rsid w:val="002769D5"/>
    <w:rsid w:val="00280BE3"/>
    <w:rsid w:val="002959B5"/>
    <w:rsid w:val="002A0F20"/>
    <w:rsid w:val="002A2995"/>
    <w:rsid w:val="002A5F3D"/>
    <w:rsid w:val="002A6BFE"/>
    <w:rsid w:val="002B11FA"/>
    <w:rsid w:val="002C1405"/>
    <w:rsid w:val="002C4023"/>
    <w:rsid w:val="002C49F3"/>
    <w:rsid w:val="002D16A4"/>
    <w:rsid w:val="002D5413"/>
    <w:rsid w:val="002D721C"/>
    <w:rsid w:val="002E26DF"/>
    <w:rsid w:val="002E59DD"/>
    <w:rsid w:val="002E5E44"/>
    <w:rsid w:val="002F0B6B"/>
    <w:rsid w:val="002F332E"/>
    <w:rsid w:val="002F36E8"/>
    <w:rsid w:val="002F3A3A"/>
    <w:rsid w:val="002F4116"/>
    <w:rsid w:val="002F51F8"/>
    <w:rsid w:val="002F5265"/>
    <w:rsid w:val="002F5D46"/>
    <w:rsid w:val="003004F6"/>
    <w:rsid w:val="003005BD"/>
    <w:rsid w:val="003028B9"/>
    <w:rsid w:val="00307341"/>
    <w:rsid w:val="00311B5D"/>
    <w:rsid w:val="00314502"/>
    <w:rsid w:val="00317269"/>
    <w:rsid w:val="00323B2F"/>
    <w:rsid w:val="00323EB2"/>
    <w:rsid w:val="00340825"/>
    <w:rsid w:val="00342429"/>
    <w:rsid w:val="00343A8D"/>
    <w:rsid w:val="00343D90"/>
    <w:rsid w:val="003446D2"/>
    <w:rsid w:val="00347A6D"/>
    <w:rsid w:val="0035520E"/>
    <w:rsid w:val="00355605"/>
    <w:rsid w:val="0035724D"/>
    <w:rsid w:val="00357275"/>
    <w:rsid w:val="00357726"/>
    <w:rsid w:val="003579CB"/>
    <w:rsid w:val="003644A8"/>
    <w:rsid w:val="003645A9"/>
    <w:rsid w:val="00364A5D"/>
    <w:rsid w:val="0036650E"/>
    <w:rsid w:val="0036701A"/>
    <w:rsid w:val="003717B6"/>
    <w:rsid w:val="00374BC8"/>
    <w:rsid w:val="003766A2"/>
    <w:rsid w:val="003775A1"/>
    <w:rsid w:val="003A12A8"/>
    <w:rsid w:val="003A6B6B"/>
    <w:rsid w:val="003B11C5"/>
    <w:rsid w:val="003B3DF2"/>
    <w:rsid w:val="003B424C"/>
    <w:rsid w:val="003B5A84"/>
    <w:rsid w:val="003C6784"/>
    <w:rsid w:val="003C6B1A"/>
    <w:rsid w:val="003D26F5"/>
    <w:rsid w:val="003E4E3F"/>
    <w:rsid w:val="003E5FA0"/>
    <w:rsid w:val="003E66CF"/>
    <w:rsid w:val="003E6B16"/>
    <w:rsid w:val="003E72FA"/>
    <w:rsid w:val="0040094D"/>
    <w:rsid w:val="004010EA"/>
    <w:rsid w:val="004025BA"/>
    <w:rsid w:val="004109E2"/>
    <w:rsid w:val="00416714"/>
    <w:rsid w:val="004169FA"/>
    <w:rsid w:val="00425810"/>
    <w:rsid w:val="00426F38"/>
    <w:rsid w:val="004276A8"/>
    <w:rsid w:val="004418A8"/>
    <w:rsid w:val="004461E5"/>
    <w:rsid w:val="00452B3E"/>
    <w:rsid w:val="00456C60"/>
    <w:rsid w:val="00457668"/>
    <w:rsid w:val="00462BC1"/>
    <w:rsid w:val="004774C9"/>
    <w:rsid w:val="0048268D"/>
    <w:rsid w:val="004865AF"/>
    <w:rsid w:val="00487E7F"/>
    <w:rsid w:val="004A10C7"/>
    <w:rsid w:val="004A18C0"/>
    <w:rsid w:val="004A5AD6"/>
    <w:rsid w:val="004A7E9E"/>
    <w:rsid w:val="004B5F5E"/>
    <w:rsid w:val="004B5FD6"/>
    <w:rsid w:val="004C2924"/>
    <w:rsid w:val="004C2D42"/>
    <w:rsid w:val="004C454F"/>
    <w:rsid w:val="004C6F85"/>
    <w:rsid w:val="004D3DFF"/>
    <w:rsid w:val="004D4749"/>
    <w:rsid w:val="004D559A"/>
    <w:rsid w:val="004E0B7F"/>
    <w:rsid w:val="004E1BFA"/>
    <w:rsid w:val="004E7263"/>
    <w:rsid w:val="004F0C21"/>
    <w:rsid w:val="004F302A"/>
    <w:rsid w:val="005010C5"/>
    <w:rsid w:val="005036D2"/>
    <w:rsid w:val="00506A15"/>
    <w:rsid w:val="005072DC"/>
    <w:rsid w:val="00512AB0"/>
    <w:rsid w:val="00516720"/>
    <w:rsid w:val="00521AE0"/>
    <w:rsid w:val="005308AD"/>
    <w:rsid w:val="00531AD5"/>
    <w:rsid w:val="00542F08"/>
    <w:rsid w:val="00547FEE"/>
    <w:rsid w:val="00563248"/>
    <w:rsid w:val="005732ED"/>
    <w:rsid w:val="005749A9"/>
    <w:rsid w:val="00577425"/>
    <w:rsid w:val="005801A9"/>
    <w:rsid w:val="00582654"/>
    <w:rsid w:val="00583795"/>
    <w:rsid w:val="005846A5"/>
    <w:rsid w:val="005910EC"/>
    <w:rsid w:val="0059589C"/>
    <w:rsid w:val="00597D1F"/>
    <w:rsid w:val="005A1DB8"/>
    <w:rsid w:val="005A3B38"/>
    <w:rsid w:val="005A55BE"/>
    <w:rsid w:val="005B3350"/>
    <w:rsid w:val="005B5710"/>
    <w:rsid w:val="005C1475"/>
    <w:rsid w:val="005C53C7"/>
    <w:rsid w:val="005C6DD8"/>
    <w:rsid w:val="005D2453"/>
    <w:rsid w:val="005D3DEB"/>
    <w:rsid w:val="005D4073"/>
    <w:rsid w:val="005D5F1D"/>
    <w:rsid w:val="005F4120"/>
    <w:rsid w:val="00600C11"/>
    <w:rsid w:val="00602117"/>
    <w:rsid w:val="00602D55"/>
    <w:rsid w:val="00611F13"/>
    <w:rsid w:val="0061427E"/>
    <w:rsid w:val="006145A7"/>
    <w:rsid w:val="006161E0"/>
    <w:rsid w:val="006238A9"/>
    <w:rsid w:val="00624A9A"/>
    <w:rsid w:val="006372C1"/>
    <w:rsid w:val="0064166D"/>
    <w:rsid w:val="00643A81"/>
    <w:rsid w:val="00652BC0"/>
    <w:rsid w:val="00655543"/>
    <w:rsid w:val="00665674"/>
    <w:rsid w:val="006710BD"/>
    <w:rsid w:val="00671875"/>
    <w:rsid w:val="006721F1"/>
    <w:rsid w:val="006819FD"/>
    <w:rsid w:val="00681E3E"/>
    <w:rsid w:val="006864D4"/>
    <w:rsid w:val="00686668"/>
    <w:rsid w:val="00694FD9"/>
    <w:rsid w:val="006C1F79"/>
    <w:rsid w:val="006D0B29"/>
    <w:rsid w:val="006D17DA"/>
    <w:rsid w:val="006D2C48"/>
    <w:rsid w:val="006E0A89"/>
    <w:rsid w:val="006E71BA"/>
    <w:rsid w:val="006F01AF"/>
    <w:rsid w:val="006F3D98"/>
    <w:rsid w:val="006F7D31"/>
    <w:rsid w:val="0070086C"/>
    <w:rsid w:val="007046F9"/>
    <w:rsid w:val="00705ED5"/>
    <w:rsid w:val="00710375"/>
    <w:rsid w:val="00715A2B"/>
    <w:rsid w:val="00722EE9"/>
    <w:rsid w:val="00734861"/>
    <w:rsid w:val="0073536F"/>
    <w:rsid w:val="00737832"/>
    <w:rsid w:val="007401EF"/>
    <w:rsid w:val="00742E36"/>
    <w:rsid w:val="007433B5"/>
    <w:rsid w:val="007447AA"/>
    <w:rsid w:val="00752878"/>
    <w:rsid w:val="00755BFC"/>
    <w:rsid w:val="00756959"/>
    <w:rsid w:val="0076116E"/>
    <w:rsid w:val="00761333"/>
    <w:rsid w:val="00767631"/>
    <w:rsid w:val="0076775F"/>
    <w:rsid w:val="00771906"/>
    <w:rsid w:val="00782A07"/>
    <w:rsid w:val="00786F2C"/>
    <w:rsid w:val="00787B64"/>
    <w:rsid w:val="007926ED"/>
    <w:rsid w:val="00792AEF"/>
    <w:rsid w:val="00794CF3"/>
    <w:rsid w:val="0079683B"/>
    <w:rsid w:val="007A62AB"/>
    <w:rsid w:val="007B5D42"/>
    <w:rsid w:val="007B6A1E"/>
    <w:rsid w:val="007C283F"/>
    <w:rsid w:val="007D1139"/>
    <w:rsid w:val="007D3E54"/>
    <w:rsid w:val="007D720A"/>
    <w:rsid w:val="007E1B3C"/>
    <w:rsid w:val="007E1CDE"/>
    <w:rsid w:val="007E7463"/>
    <w:rsid w:val="007F541E"/>
    <w:rsid w:val="007F7BB8"/>
    <w:rsid w:val="00800646"/>
    <w:rsid w:val="00802CC3"/>
    <w:rsid w:val="00807523"/>
    <w:rsid w:val="00807EDD"/>
    <w:rsid w:val="00810B14"/>
    <w:rsid w:val="00813C5C"/>
    <w:rsid w:val="008234A7"/>
    <w:rsid w:val="00832AA7"/>
    <w:rsid w:val="008371C1"/>
    <w:rsid w:val="008400D7"/>
    <w:rsid w:val="00844712"/>
    <w:rsid w:val="00844855"/>
    <w:rsid w:val="0085006A"/>
    <w:rsid w:val="00850B4C"/>
    <w:rsid w:val="00855334"/>
    <w:rsid w:val="0085626C"/>
    <w:rsid w:val="0086164A"/>
    <w:rsid w:val="008617F0"/>
    <w:rsid w:val="00862BC1"/>
    <w:rsid w:val="00864A8A"/>
    <w:rsid w:val="0086623A"/>
    <w:rsid w:val="00870046"/>
    <w:rsid w:val="00874E41"/>
    <w:rsid w:val="00875537"/>
    <w:rsid w:val="00875920"/>
    <w:rsid w:val="0087686B"/>
    <w:rsid w:val="008847D8"/>
    <w:rsid w:val="00887C9C"/>
    <w:rsid w:val="00893F68"/>
    <w:rsid w:val="008950CC"/>
    <w:rsid w:val="00897F29"/>
    <w:rsid w:val="008A371A"/>
    <w:rsid w:val="008A6664"/>
    <w:rsid w:val="008A77CD"/>
    <w:rsid w:val="008B13A3"/>
    <w:rsid w:val="008D7483"/>
    <w:rsid w:val="008E188D"/>
    <w:rsid w:val="008E362A"/>
    <w:rsid w:val="008E4263"/>
    <w:rsid w:val="00900F70"/>
    <w:rsid w:val="00901D80"/>
    <w:rsid w:val="009069F1"/>
    <w:rsid w:val="009108A1"/>
    <w:rsid w:val="00916D84"/>
    <w:rsid w:val="009209E0"/>
    <w:rsid w:val="00921645"/>
    <w:rsid w:val="00937CA6"/>
    <w:rsid w:val="009453C8"/>
    <w:rsid w:val="00946B6A"/>
    <w:rsid w:val="0095241F"/>
    <w:rsid w:val="00952B39"/>
    <w:rsid w:val="00960982"/>
    <w:rsid w:val="00965952"/>
    <w:rsid w:val="00965D81"/>
    <w:rsid w:val="00974B53"/>
    <w:rsid w:val="00976DBA"/>
    <w:rsid w:val="00981D7B"/>
    <w:rsid w:val="0099185F"/>
    <w:rsid w:val="009934BC"/>
    <w:rsid w:val="009A069C"/>
    <w:rsid w:val="009A31B1"/>
    <w:rsid w:val="009A3216"/>
    <w:rsid w:val="009A3CCE"/>
    <w:rsid w:val="009A7D3C"/>
    <w:rsid w:val="009B1E59"/>
    <w:rsid w:val="009B1E5E"/>
    <w:rsid w:val="009B5C94"/>
    <w:rsid w:val="009B7704"/>
    <w:rsid w:val="009C2883"/>
    <w:rsid w:val="009C290F"/>
    <w:rsid w:val="009C2D87"/>
    <w:rsid w:val="009C5770"/>
    <w:rsid w:val="009D2229"/>
    <w:rsid w:val="009D453F"/>
    <w:rsid w:val="009E26C0"/>
    <w:rsid w:val="00A00923"/>
    <w:rsid w:val="00A0165B"/>
    <w:rsid w:val="00A04DD9"/>
    <w:rsid w:val="00A11213"/>
    <w:rsid w:val="00A12B19"/>
    <w:rsid w:val="00A15BD2"/>
    <w:rsid w:val="00A1787E"/>
    <w:rsid w:val="00A21140"/>
    <w:rsid w:val="00A21D15"/>
    <w:rsid w:val="00A417D0"/>
    <w:rsid w:val="00A44132"/>
    <w:rsid w:val="00A46FB0"/>
    <w:rsid w:val="00A649E1"/>
    <w:rsid w:val="00A74E5F"/>
    <w:rsid w:val="00A755FC"/>
    <w:rsid w:val="00A8220A"/>
    <w:rsid w:val="00A823F1"/>
    <w:rsid w:val="00A824B6"/>
    <w:rsid w:val="00A93141"/>
    <w:rsid w:val="00A94080"/>
    <w:rsid w:val="00A942C7"/>
    <w:rsid w:val="00A966AF"/>
    <w:rsid w:val="00AA16FF"/>
    <w:rsid w:val="00AA1F62"/>
    <w:rsid w:val="00AA65B0"/>
    <w:rsid w:val="00AB0BB4"/>
    <w:rsid w:val="00AB272B"/>
    <w:rsid w:val="00AC63CA"/>
    <w:rsid w:val="00AC75D6"/>
    <w:rsid w:val="00AC7F5F"/>
    <w:rsid w:val="00AD1A22"/>
    <w:rsid w:val="00AD3685"/>
    <w:rsid w:val="00AD40D8"/>
    <w:rsid w:val="00AD68FC"/>
    <w:rsid w:val="00AF12E1"/>
    <w:rsid w:val="00AF1E36"/>
    <w:rsid w:val="00AF630D"/>
    <w:rsid w:val="00B00212"/>
    <w:rsid w:val="00B01975"/>
    <w:rsid w:val="00B01C7E"/>
    <w:rsid w:val="00B02246"/>
    <w:rsid w:val="00B02A38"/>
    <w:rsid w:val="00B02E35"/>
    <w:rsid w:val="00B057FE"/>
    <w:rsid w:val="00B112F8"/>
    <w:rsid w:val="00B129A5"/>
    <w:rsid w:val="00B204D7"/>
    <w:rsid w:val="00B21938"/>
    <w:rsid w:val="00B335A6"/>
    <w:rsid w:val="00B37A57"/>
    <w:rsid w:val="00B554BD"/>
    <w:rsid w:val="00B76551"/>
    <w:rsid w:val="00B810F5"/>
    <w:rsid w:val="00B81FA0"/>
    <w:rsid w:val="00B8300B"/>
    <w:rsid w:val="00BA22A9"/>
    <w:rsid w:val="00BA57E3"/>
    <w:rsid w:val="00BA5C21"/>
    <w:rsid w:val="00BB09EC"/>
    <w:rsid w:val="00BB4EB4"/>
    <w:rsid w:val="00BB538B"/>
    <w:rsid w:val="00BB7EFF"/>
    <w:rsid w:val="00BD3F1C"/>
    <w:rsid w:val="00BE1CFD"/>
    <w:rsid w:val="00BE467E"/>
    <w:rsid w:val="00BF04CD"/>
    <w:rsid w:val="00BF0F55"/>
    <w:rsid w:val="00BF413C"/>
    <w:rsid w:val="00BF4CD4"/>
    <w:rsid w:val="00C13D1B"/>
    <w:rsid w:val="00C14696"/>
    <w:rsid w:val="00C1599B"/>
    <w:rsid w:val="00C264D9"/>
    <w:rsid w:val="00C27103"/>
    <w:rsid w:val="00C404F0"/>
    <w:rsid w:val="00C428D1"/>
    <w:rsid w:val="00C43B51"/>
    <w:rsid w:val="00C43DB3"/>
    <w:rsid w:val="00C459F9"/>
    <w:rsid w:val="00C5009B"/>
    <w:rsid w:val="00C53FA1"/>
    <w:rsid w:val="00C6114A"/>
    <w:rsid w:val="00C67843"/>
    <w:rsid w:val="00C73271"/>
    <w:rsid w:val="00C73EAD"/>
    <w:rsid w:val="00C765AB"/>
    <w:rsid w:val="00C847CC"/>
    <w:rsid w:val="00C912A4"/>
    <w:rsid w:val="00C94AF0"/>
    <w:rsid w:val="00C9741C"/>
    <w:rsid w:val="00CB0FCE"/>
    <w:rsid w:val="00CB4326"/>
    <w:rsid w:val="00CB5DCC"/>
    <w:rsid w:val="00CB7F14"/>
    <w:rsid w:val="00CC09F0"/>
    <w:rsid w:val="00CC63E1"/>
    <w:rsid w:val="00CD247A"/>
    <w:rsid w:val="00CF0092"/>
    <w:rsid w:val="00CF0389"/>
    <w:rsid w:val="00CF2F1C"/>
    <w:rsid w:val="00CF6CA7"/>
    <w:rsid w:val="00D0623D"/>
    <w:rsid w:val="00D07F7D"/>
    <w:rsid w:val="00D13D4D"/>
    <w:rsid w:val="00D173A1"/>
    <w:rsid w:val="00D23B30"/>
    <w:rsid w:val="00D355AD"/>
    <w:rsid w:val="00D423E5"/>
    <w:rsid w:val="00D42CD6"/>
    <w:rsid w:val="00D57687"/>
    <w:rsid w:val="00D57E96"/>
    <w:rsid w:val="00D65E1B"/>
    <w:rsid w:val="00D66A40"/>
    <w:rsid w:val="00D66D06"/>
    <w:rsid w:val="00D73B1E"/>
    <w:rsid w:val="00D80812"/>
    <w:rsid w:val="00D80B8E"/>
    <w:rsid w:val="00D83420"/>
    <w:rsid w:val="00D8626A"/>
    <w:rsid w:val="00D901E5"/>
    <w:rsid w:val="00D9463D"/>
    <w:rsid w:val="00D95B01"/>
    <w:rsid w:val="00D962C6"/>
    <w:rsid w:val="00DA1460"/>
    <w:rsid w:val="00DA2AAC"/>
    <w:rsid w:val="00DA44B5"/>
    <w:rsid w:val="00DA5D6A"/>
    <w:rsid w:val="00DB07B0"/>
    <w:rsid w:val="00DB6F1E"/>
    <w:rsid w:val="00DD01EB"/>
    <w:rsid w:val="00DD04AE"/>
    <w:rsid w:val="00DD2A87"/>
    <w:rsid w:val="00DD3902"/>
    <w:rsid w:val="00DD4B50"/>
    <w:rsid w:val="00DD4FE0"/>
    <w:rsid w:val="00DE440A"/>
    <w:rsid w:val="00DE4E46"/>
    <w:rsid w:val="00DF7002"/>
    <w:rsid w:val="00DF7E7F"/>
    <w:rsid w:val="00E03674"/>
    <w:rsid w:val="00E05653"/>
    <w:rsid w:val="00E078F0"/>
    <w:rsid w:val="00E11588"/>
    <w:rsid w:val="00E12F35"/>
    <w:rsid w:val="00E16FF6"/>
    <w:rsid w:val="00E246BD"/>
    <w:rsid w:val="00E256F0"/>
    <w:rsid w:val="00E302EC"/>
    <w:rsid w:val="00E3239E"/>
    <w:rsid w:val="00E34CD1"/>
    <w:rsid w:val="00E426DA"/>
    <w:rsid w:val="00E4345A"/>
    <w:rsid w:val="00E46344"/>
    <w:rsid w:val="00E62F25"/>
    <w:rsid w:val="00E6366A"/>
    <w:rsid w:val="00E65F9D"/>
    <w:rsid w:val="00E70736"/>
    <w:rsid w:val="00E70ADD"/>
    <w:rsid w:val="00E729BB"/>
    <w:rsid w:val="00E827A8"/>
    <w:rsid w:val="00E840E3"/>
    <w:rsid w:val="00E84AD9"/>
    <w:rsid w:val="00E91803"/>
    <w:rsid w:val="00EA66AC"/>
    <w:rsid w:val="00EB2410"/>
    <w:rsid w:val="00EB739F"/>
    <w:rsid w:val="00EC0A75"/>
    <w:rsid w:val="00EC5E2B"/>
    <w:rsid w:val="00ED33FD"/>
    <w:rsid w:val="00ED36B9"/>
    <w:rsid w:val="00EE34A3"/>
    <w:rsid w:val="00EE7264"/>
    <w:rsid w:val="00EF48B5"/>
    <w:rsid w:val="00F205DA"/>
    <w:rsid w:val="00F216F2"/>
    <w:rsid w:val="00F319C1"/>
    <w:rsid w:val="00F42CDF"/>
    <w:rsid w:val="00F459C8"/>
    <w:rsid w:val="00F506D0"/>
    <w:rsid w:val="00F526CB"/>
    <w:rsid w:val="00F537AC"/>
    <w:rsid w:val="00F53904"/>
    <w:rsid w:val="00F65677"/>
    <w:rsid w:val="00F72B8A"/>
    <w:rsid w:val="00F76D47"/>
    <w:rsid w:val="00F86162"/>
    <w:rsid w:val="00F95281"/>
    <w:rsid w:val="00FA4263"/>
    <w:rsid w:val="00FA6C71"/>
    <w:rsid w:val="00FA6DBB"/>
    <w:rsid w:val="00FB1C4C"/>
    <w:rsid w:val="00FB7F24"/>
    <w:rsid w:val="00FC33AD"/>
    <w:rsid w:val="00FD2142"/>
    <w:rsid w:val="00FE21A0"/>
    <w:rsid w:val="00FE36C9"/>
    <w:rsid w:val="00FE46DD"/>
    <w:rsid w:val="00FE7AA6"/>
    <w:rsid w:val="00FF0FE8"/>
    <w:rsid w:val="00FF31D1"/>
    <w:rsid w:val="04578843"/>
    <w:rsid w:val="083B616C"/>
    <w:rsid w:val="13ED417B"/>
    <w:rsid w:val="16F4F93A"/>
    <w:rsid w:val="345AD5BB"/>
    <w:rsid w:val="3507F84F"/>
    <w:rsid w:val="356724DA"/>
    <w:rsid w:val="3926D34D"/>
    <w:rsid w:val="39A5AF55"/>
    <w:rsid w:val="39B2D59E"/>
    <w:rsid w:val="3AB1C1ED"/>
    <w:rsid w:val="3EF1E250"/>
    <w:rsid w:val="49906883"/>
    <w:rsid w:val="50870D53"/>
    <w:rsid w:val="587F5D2D"/>
    <w:rsid w:val="5F629EAA"/>
    <w:rsid w:val="5F7A8E71"/>
    <w:rsid w:val="645FFBB5"/>
    <w:rsid w:val="66AE6E0A"/>
    <w:rsid w:val="7902A7DF"/>
    <w:rsid w:val="7A79899F"/>
    <w:rsid w:val="7AEB0A0D"/>
    <w:rsid w:val="7DB203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2A7DF"/>
  <w15:chartTrackingRefBased/>
  <w15:docId w15:val="{87B2B8EF-4CB1-4FC3-87EB-466E17D1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255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B41"/>
  </w:style>
  <w:style w:type="paragraph" w:styleId="Footer">
    <w:name w:val="footer"/>
    <w:basedOn w:val="Normal"/>
    <w:link w:val="FooterChar"/>
    <w:uiPriority w:val="99"/>
    <w:unhideWhenUsed/>
    <w:rsid w:val="00255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B4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14696"/>
    <w:pPr>
      <w:ind w:left="720"/>
      <w:contextualSpacing/>
    </w:pPr>
  </w:style>
  <w:style w:type="paragraph" w:styleId="CommentText">
    <w:name w:val="annotation text"/>
    <w:basedOn w:val="Normal"/>
    <w:link w:val="CommentTextChar"/>
    <w:uiPriority w:val="99"/>
    <w:semiHidden/>
    <w:unhideWhenUsed/>
    <w:rsid w:val="00EC5E2B"/>
    <w:pPr>
      <w:spacing w:line="240" w:lineRule="auto"/>
    </w:pPr>
    <w:rPr>
      <w:sz w:val="20"/>
      <w:szCs w:val="20"/>
    </w:rPr>
  </w:style>
  <w:style w:type="character" w:customStyle="1" w:styleId="CommentTextChar">
    <w:name w:val="Comment Text Char"/>
    <w:basedOn w:val="DefaultParagraphFont"/>
    <w:link w:val="CommentText"/>
    <w:uiPriority w:val="99"/>
    <w:semiHidden/>
    <w:rsid w:val="00EC5E2B"/>
    <w:rPr>
      <w:sz w:val="20"/>
      <w:szCs w:val="20"/>
    </w:rPr>
  </w:style>
  <w:style w:type="character" w:styleId="CommentReference">
    <w:name w:val="annotation reference"/>
    <w:basedOn w:val="DefaultParagraphFont"/>
    <w:uiPriority w:val="99"/>
    <w:semiHidden/>
    <w:unhideWhenUsed/>
    <w:rsid w:val="00EC5E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6572">
      <w:bodyDiv w:val="1"/>
      <w:marLeft w:val="0"/>
      <w:marRight w:val="0"/>
      <w:marTop w:val="0"/>
      <w:marBottom w:val="0"/>
      <w:divBdr>
        <w:top w:val="none" w:sz="0" w:space="0" w:color="auto"/>
        <w:left w:val="none" w:sz="0" w:space="0" w:color="auto"/>
        <w:bottom w:val="none" w:sz="0" w:space="0" w:color="auto"/>
        <w:right w:val="none" w:sz="0" w:space="0" w:color="auto"/>
      </w:divBdr>
    </w:div>
    <w:div w:id="6687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wner xmlns="0daa6c88-a939-4632-a8ba-2d255ac0a2da" xsi:nil="true"/>
    <lcf76f155ced4ddcb4097134ff3c332f xmlns="0daa6c88-a939-4632-a8ba-2d255ac0a2da">
      <Terms xmlns="http://schemas.microsoft.com/office/infopath/2007/PartnerControls"/>
    </lcf76f155ced4ddcb4097134ff3c332f>
    <TaxCatchAll xmlns="2e9419c5-e485-488d-b93a-58191a79ff04" xsi:nil="true"/>
  </documentManagement>
</p:properties>
</file>

<file path=customXml/itemProps1.xml><?xml version="1.0" encoding="utf-8"?>
<ds:datastoreItem xmlns:ds="http://schemas.openxmlformats.org/officeDocument/2006/customXml" ds:itemID="{D0839A13-1F34-4DD6-BDC2-13746D5BD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98A24-6165-4937-858C-D4975B5831D9}">
  <ds:schemaRefs>
    <ds:schemaRef ds:uri="http://schemas.microsoft.com/sharepoint/v3/contenttype/forms"/>
  </ds:schemaRefs>
</ds:datastoreItem>
</file>

<file path=customXml/itemProps3.xml><?xml version="1.0" encoding="utf-8"?>
<ds:datastoreItem xmlns:ds="http://schemas.openxmlformats.org/officeDocument/2006/customXml" ds:itemID="{84BB61B7-3C87-4B34-BD4C-A5840E1B55B2}">
  <ds:schemaRefs>
    <ds:schemaRef ds:uri="http://schemas.openxmlformats.org/officeDocument/2006/bibliography"/>
  </ds:schemaRefs>
</ds:datastoreItem>
</file>

<file path=customXml/itemProps4.xml><?xml version="1.0" encoding="utf-8"?>
<ds:datastoreItem xmlns:ds="http://schemas.openxmlformats.org/officeDocument/2006/customXml" ds:itemID="{8E2316CA-D72B-4EA7-B503-16FBB716055C}">
  <ds:schemaRefs>
    <ds:schemaRef ds:uri="http://schemas.microsoft.com/office/2006/metadata/properties"/>
    <ds:schemaRef ds:uri="http://schemas.microsoft.com/office/infopath/2007/PartnerControls"/>
    <ds:schemaRef ds:uri="0daa6c88-a939-4632-a8ba-2d255ac0a2da"/>
    <ds:schemaRef ds:uri="2e9419c5-e485-488d-b93a-58191a79ff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2295</Words>
  <Characters>13088</Characters>
  <Application>Microsoft Office Word</Application>
  <DocSecurity>4</DocSecurity>
  <Lines>109</Lines>
  <Paragraphs>30</Paragraphs>
  <ScaleCrop>false</ScaleCrop>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dc:description/>
  <cp:lastModifiedBy>Ruby Ramachandran</cp:lastModifiedBy>
  <cp:revision>36</cp:revision>
  <dcterms:created xsi:type="dcterms:W3CDTF">2025-03-15T13:29:00Z</dcterms:created>
  <dcterms:modified xsi:type="dcterms:W3CDTF">2025-03-18T00:30:00Z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5e5f0bd5,41c16bb0,570fc554</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5e955050,64c99f9b,748f3dc0</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2024-10-01T04:22:05Z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a6f6ec37-b430-4ccb-9178-7bfd667fc1ea</vt:lpwstr>
  </property>
  <property fmtid="{D5CDD505-2E9C-101B-9397-08002B2CF9AE}" pid="15" name="MSIP_Label_02421e9c-e840-43fc-b071-d383f1dfe50f_ContentBits">
    <vt:lpwstr>3</vt:lpwstr>
  </property>
  <property fmtid="{D5CDD505-2E9C-101B-9397-08002B2CF9AE}" pid="16" name="MediaServiceImageTags">
    <vt:lpwstr/>
  </property>
</Properties>
</file>